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F9A355">
      <w:pPr>
        <w:jc w:val="center"/>
        <w:rPr>
          <w:rFonts w:ascii="仿宋" w:hAnsi="仿宋" w:eastAsia="仿宋" w:cs="仿宋"/>
          <w:b/>
          <w:bCs/>
          <w:snapToGrid w:val="0"/>
          <w:color w:val="auto"/>
          <w:kern w:val="0"/>
          <w:sz w:val="44"/>
        </w:rPr>
      </w:pPr>
      <w:bookmarkStart w:id="36" w:name="_GoBack"/>
      <w:bookmarkEnd w:id="36"/>
      <w:r>
        <w:rPr>
          <w:rFonts w:hint="eastAsia" w:ascii="仿宋" w:hAnsi="仿宋" w:eastAsia="仿宋" w:cs="仿宋"/>
          <w:b/>
          <w:bCs/>
          <w:snapToGrid w:val="0"/>
          <w:color w:val="auto"/>
          <w:kern w:val="0"/>
          <w:sz w:val="44"/>
        </w:rPr>
        <w:t xml:space="preserve">  </w:t>
      </w:r>
    </w:p>
    <w:p w14:paraId="57CCEE4C">
      <w:pPr>
        <w:jc w:val="center"/>
        <w:rPr>
          <w:rFonts w:ascii="仿宋" w:hAnsi="仿宋" w:eastAsia="仿宋" w:cs="仿宋"/>
          <w:b/>
          <w:bCs/>
          <w:snapToGrid w:val="0"/>
          <w:color w:val="auto"/>
          <w:kern w:val="0"/>
          <w:sz w:val="44"/>
        </w:rPr>
      </w:pPr>
    </w:p>
    <w:p w14:paraId="73CBA575">
      <w:pPr>
        <w:jc w:val="center"/>
        <w:rPr>
          <w:rFonts w:ascii="仿宋" w:hAnsi="仿宋" w:eastAsia="仿宋" w:cs="仿宋"/>
          <w:b/>
          <w:bCs/>
          <w:snapToGrid w:val="0"/>
          <w:color w:val="auto"/>
          <w:kern w:val="0"/>
          <w:sz w:val="44"/>
        </w:rPr>
      </w:pPr>
    </w:p>
    <w:p w14:paraId="41DB0C23">
      <w:pPr>
        <w:jc w:val="center"/>
        <w:rPr>
          <w:rFonts w:ascii="仿宋" w:hAnsi="仿宋" w:eastAsia="仿宋" w:cs="仿宋"/>
          <w:b/>
          <w:bCs/>
          <w:snapToGrid w:val="0"/>
          <w:color w:val="auto"/>
          <w:kern w:val="0"/>
          <w:sz w:val="44"/>
        </w:rPr>
      </w:pPr>
    </w:p>
    <w:p w14:paraId="6D61F27B">
      <w:pPr>
        <w:jc w:val="center"/>
        <w:rPr>
          <w:rFonts w:ascii="仿宋" w:hAnsi="仿宋" w:eastAsia="仿宋" w:cs="仿宋"/>
          <w:b/>
          <w:bCs/>
          <w:snapToGrid w:val="0"/>
          <w:color w:val="auto"/>
          <w:kern w:val="0"/>
          <w:sz w:val="44"/>
        </w:rPr>
      </w:pPr>
    </w:p>
    <w:p w14:paraId="709F3529">
      <w:pPr>
        <w:jc w:val="center"/>
        <w:rPr>
          <w:rFonts w:ascii="仿宋" w:hAnsi="仿宋" w:eastAsia="仿宋" w:cs="仿宋"/>
          <w:b/>
          <w:bCs/>
          <w:snapToGrid w:val="0"/>
          <w:color w:val="auto"/>
          <w:kern w:val="0"/>
          <w:sz w:val="44"/>
        </w:rPr>
      </w:pPr>
    </w:p>
    <w:p w14:paraId="3009001F">
      <w:pPr>
        <w:jc w:val="center"/>
        <w:rPr>
          <w:rFonts w:ascii="仿宋" w:hAnsi="仿宋" w:eastAsia="仿宋" w:cs="仿宋"/>
          <w:b/>
          <w:bCs/>
          <w:snapToGrid w:val="0"/>
          <w:color w:val="auto"/>
          <w:kern w:val="0"/>
          <w:sz w:val="44"/>
        </w:rPr>
      </w:pPr>
    </w:p>
    <w:p w14:paraId="2DDB827E">
      <w:pPr>
        <w:spacing w:line="360" w:lineRule="auto"/>
        <w:jc w:val="center"/>
        <w:rPr>
          <w:rFonts w:ascii="方正小标宋简体" w:hAnsi="方正小标宋简体" w:eastAsia="方正小标宋简体" w:cs="方正小标宋简体"/>
          <w:snapToGrid w:val="0"/>
          <w:color w:val="auto"/>
          <w:kern w:val="0"/>
          <w:sz w:val="48"/>
          <w:szCs w:val="48"/>
        </w:rPr>
      </w:pPr>
      <w:r>
        <w:rPr>
          <w:rFonts w:hint="eastAsia" w:ascii="方正小标宋简体" w:hAnsi="方正小标宋简体" w:eastAsia="方正小标宋简体" w:cs="方正小标宋简体"/>
          <w:snapToGrid w:val="0"/>
          <w:color w:val="auto"/>
          <w:kern w:val="0"/>
          <w:sz w:val="48"/>
          <w:szCs w:val="48"/>
        </w:rPr>
        <w:t>行业标准</w:t>
      </w:r>
    </w:p>
    <w:p w14:paraId="37864181">
      <w:pPr>
        <w:spacing w:line="360" w:lineRule="auto"/>
        <w:jc w:val="center"/>
        <w:rPr>
          <w:rFonts w:ascii="方正小标宋简体" w:hAnsi="方正小标宋简体" w:eastAsia="方正小标宋简体" w:cs="方正小标宋简体"/>
          <w:snapToGrid w:val="0"/>
          <w:color w:val="auto"/>
          <w:kern w:val="0"/>
          <w:sz w:val="48"/>
          <w:szCs w:val="48"/>
        </w:rPr>
      </w:pPr>
      <w:r>
        <w:rPr>
          <w:rFonts w:hint="eastAsia" w:ascii="方正小标宋简体" w:hAnsi="方正小标宋简体" w:eastAsia="方正小标宋简体" w:cs="方正小标宋简体"/>
          <w:snapToGrid w:val="0"/>
          <w:color w:val="auto"/>
          <w:kern w:val="0"/>
          <w:sz w:val="48"/>
          <w:szCs w:val="48"/>
        </w:rPr>
        <w:t>《养老顾问服务指南》</w:t>
      </w:r>
    </w:p>
    <w:p w14:paraId="58A9B906">
      <w:pPr>
        <w:spacing w:line="360" w:lineRule="auto"/>
        <w:jc w:val="center"/>
        <w:rPr>
          <w:rFonts w:ascii="方正小标宋简体" w:hAnsi="方正小标宋简体" w:eastAsia="方正小标宋简体" w:cs="方正小标宋简体"/>
          <w:snapToGrid w:val="0"/>
          <w:color w:val="auto"/>
          <w:kern w:val="0"/>
          <w:sz w:val="48"/>
          <w:szCs w:val="48"/>
        </w:rPr>
      </w:pPr>
      <w:r>
        <w:rPr>
          <w:rFonts w:hint="eastAsia" w:ascii="方正小标宋简体" w:hAnsi="方正小标宋简体" w:eastAsia="方正小标宋简体" w:cs="方正小标宋简体"/>
          <w:snapToGrid w:val="0"/>
          <w:color w:val="auto"/>
          <w:kern w:val="0"/>
          <w:sz w:val="48"/>
          <w:szCs w:val="48"/>
        </w:rPr>
        <w:t>（</w:t>
      </w:r>
      <w:r>
        <w:rPr>
          <w:rFonts w:hint="eastAsia" w:ascii="方正小标宋简体" w:hAnsi="方正小标宋简体" w:eastAsia="方正小标宋简体" w:cs="方正小标宋简体"/>
          <w:snapToGrid w:val="0"/>
          <w:color w:val="auto"/>
          <w:kern w:val="0"/>
          <w:sz w:val="48"/>
          <w:szCs w:val="48"/>
          <w:lang w:eastAsia="zh-CN"/>
        </w:rPr>
        <w:t>征求意见</w:t>
      </w:r>
      <w:r>
        <w:rPr>
          <w:rFonts w:hint="eastAsia" w:ascii="方正小标宋简体" w:hAnsi="方正小标宋简体" w:eastAsia="方正小标宋简体" w:cs="方正小标宋简体"/>
          <w:snapToGrid w:val="0"/>
          <w:color w:val="auto"/>
          <w:kern w:val="0"/>
          <w:sz w:val="48"/>
          <w:szCs w:val="48"/>
        </w:rPr>
        <w:t>稿）</w:t>
      </w:r>
    </w:p>
    <w:p w14:paraId="0E6696B7">
      <w:pPr>
        <w:spacing w:line="360" w:lineRule="auto"/>
        <w:jc w:val="center"/>
        <w:rPr>
          <w:rFonts w:ascii="方正小标宋简体" w:hAnsi="方正小标宋简体" w:eastAsia="方正小标宋简体" w:cs="方正小标宋简体"/>
          <w:snapToGrid w:val="0"/>
          <w:color w:val="auto"/>
          <w:kern w:val="0"/>
          <w:sz w:val="48"/>
          <w:szCs w:val="48"/>
        </w:rPr>
      </w:pPr>
      <w:r>
        <w:rPr>
          <w:rFonts w:hint="eastAsia" w:ascii="方正小标宋简体" w:hAnsi="方正小标宋简体" w:eastAsia="方正小标宋简体" w:cs="方正小标宋简体"/>
          <w:snapToGrid w:val="0"/>
          <w:color w:val="auto"/>
          <w:kern w:val="0"/>
          <w:sz w:val="48"/>
          <w:szCs w:val="48"/>
        </w:rPr>
        <w:t>编制说明</w:t>
      </w:r>
    </w:p>
    <w:p w14:paraId="57BC6CA0">
      <w:pPr>
        <w:rPr>
          <w:rFonts w:ascii="仿宋" w:hAnsi="仿宋" w:eastAsia="仿宋" w:cs="仿宋"/>
          <w:b/>
          <w:bCs/>
          <w:snapToGrid w:val="0"/>
          <w:color w:val="auto"/>
          <w:kern w:val="0"/>
          <w:sz w:val="44"/>
        </w:rPr>
      </w:pPr>
    </w:p>
    <w:p w14:paraId="1E897917">
      <w:pPr>
        <w:rPr>
          <w:rFonts w:ascii="仿宋" w:hAnsi="仿宋" w:eastAsia="仿宋" w:cs="仿宋"/>
          <w:b/>
          <w:bCs/>
          <w:snapToGrid w:val="0"/>
          <w:color w:val="auto"/>
          <w:kern w:val="0"/>
          <w:sz w:val="44"/>
        </w:rPr>
      </w:pPr>
    </w:p>
    <w:p w14:paraId="2A288593">
      <w:pPr>
        <w:jc w:val="center"/>
        <w:rPr>
          <w:rFonts w:ascii="仿宋" w:hAnsi="仿宋" w:eastAsia="仿宋" w:cs="仿宋"/>
          <w:b/>
          <w:bCs/>
          <w:snapToGrid w:val="0"/>
          <w:color w:val="auto"/>
          <w:kern w:val="0"/>
          <w:sz w:val="44"/>
        </w:rPr>
      </w:pPr>
    </w:p>
    <w:p w14:paraId="47083A79">
      <w:pPr>
        <w:jc w:val="center"/>
        <w:rPr>
          <w:rFonts w:ascii="仿宋" w:hAnsi="仿宋" w:eastAsia="仿宋" w:cs="仿宋"/>
          <w:b/>
          <w:bCs/>
          <w:snapToGrid w:val="0"/>
          <w:color w:val="auto"/>
          <w:kern w:val="0"/>
          <w:sz w:val="44"/>
        </w:rPr>
      </w:pPr>
    </w:p>
    <w:p w14:paraId="66715542">
      <w:pPr>
        <w:rPr>
          <w:rFonts w:ascii="仿宋" w:hAnsi="仿宋" w:eastAsia="仿宋" w:cs="仿宋"/>
          <w:b/>
          <w:bCs/>
          <w:snapToGrid w:val="0"/>
          <w:color w:val="auto"/>
          <w:kern w:val="0"/>
          <w:sz w:val="44"/>
        </w:rPr>
      </w:pPr>
    </w:p>
    <w:p w14:paraId="44034002">
      <w:pPr>
        <w:pStyle w:val="2"/>
        <w:rPr>
          <w:color w:val="auto"/>
        </w:rPr>
      </w:pPr>
    </w:p>
    <w:p w14:paraId="6CD78E11">
      <w:pPr>
        <w:spacing w:line="600" w:lineRule="exact"/>
        <w:jc w:val="center"/>
        <w:rPr>
          <w:rFonts w:ascii="方正仿宋_GBK" w:hAnsi="方正仿宋_GBK" w:eastAsia="方正仿宋_GBK" w:cs="方正仿宋_GBK"/>
          <w:b/>
          <w:bCs/>
          <w:snapToGrid w:val="0"/>
          <w:color w:val="auto"/>
          <w:kern w:val="0"/>
          <w:sz w:val="32"/>
          <w:szCs w:val="32"/>
        </w:rPr>
      </w:pPr>
      <w:r>
        <w:rPr>
          <w:rFonts w:hint="eastAsia" w:ascii="方正仿宋_GBK" w:hAnsi="方正仿宋_GBK" w:eastAsia="方正仿宋_GBK" w:cs="方正仿宋_GBK"/>
          <w:b/>
          <w:bCs/>
          <w:snapToGrid w:val="0"/>
          <w:color w:val="auto"/>
          <w:kern w:val="0"/>
          <w:sz w:val="32"/>
          <w:szCs w:val="32"/>
        </w:rPr>
        <w:t>标准起草组</w:t>
      </w:r>
    </w:p>
    <w:p w14:paraId="3B19C1E8">
      <w:pPr>
        <w:spacing w:line="600" w:lineRule="exact"/>
        <w:jc w:val="center"/>
        <w:rPr>
          <w:rFonts w:ascii="方正仿宋_GBK" w:hAnsi="方正仿宋_GBK" w:eastAsia="方正仿宋_GBK" w:cs="方正仿宋_GBK"/>
          <w:b/>
          <w:bCs/>
          <w:snapToGrid w:val="0"/>
          <w:color w:val="auto"/>
          <w:kern w:val="0"/>
          <w:sz w:val="32"/>
          <w:szCs w:val="32"/>
        </w:rPr>
      </w:pPr>
      <w:r>
        <w:rPr>
          <w:rFonts w:hint="eastAsia" w:ascii="方正仿宋_GBK" w:hAnsi="方正仿宋_GBK" w:eastAsia="方正仿宋_GBK" w:cs="方正仿宋_GBK"/>
          <w:b/>
          <w:bCs/>
          <w:snapToGrid w:val="0"/>
          <w:color w:val="auto"/>
          <w:kern w:val="0"/>
          <w:sz w:val="32"/>
          <w:szCs w:val="32"/>
        </w:rPr>
        <w:t>202</w:t>
      </w:r>
      <w:r>
        <w:rPr>
          <w:rFonts w:hint="eastAsia" w:ascii="方正仿宋_GBK" w:hAnsi="方正仿宋_GBK" w:eastAsia="方正仿宋_GBK" w:cs="方正仿宋_GBK"/>
          <w:b/>
          <w:bCs/>
          <w:snapToGrid w:val="0"/>
          <w:color w:val="auto"/>
          <w:kern w:val="0"/>
          <w:sz w:val="32"/>
          <w:szCs w:val="32"/>
          <w:lang w:val="en-US" w:eastAsia="zh-CN"/>
        </w:rPr>
        <w:t>6</w:t>
      </w:r>
      <w:r>
        <w:rPr>
          <w:rFonts w:hint="eastAsia" w:ascii="方正仿宋_GBK" w:hAnsi="方正仿宋_GBK" w:eastAsia="方正仿宋_GBK" w:cs="方正仿宋_GBK"/>
          <w:b/>
          <w:bCs/>
          <w:snapToGrid w:val="0"/>
          <w:color w:val="auto"/>
          <w:kern w:val="0"/>
          <w:sz w:val="32"/>
          <w:szCs w:val="32"/>
        </w:rPr>
        <w:t>年</w:t>
      </w:r>
      <w:r>
        <w:rPr>
          <w:rFonts w:hint="eastAsia" w:ascii="方正仿宋_GBK" w:hAnsi="方正仿宋_GBK" w:eastAsia="方正仿宋_GBK" w:cs="方正仿宋_GBK"/>
          <w:b/>
          <w:bCs/>
          <w:snapToGrid w:val="0"/>
          <w:color w:val="auto"/>
          <w:kern w:val="0"/>
          <w:sz w:val="32"/>
          <w:szCs w:val="32"/>
          <w:lang w:val="en-US" w:eastAsia="zh-CN"/>
        </w:rPr>
        <w:t>6</w:t>
      </w:r>
      <w:r>
        <w:rPr>
          <w:rFonts w:hint="eastAsia" w:ascii="方正仿宋_GBK" w:hAnsi="方正仿宋_GBK" w:eastAsia="方正仿宋_GBK" w:cs="方正仿宋_GBK"/>
          <w:b/>
          <w:bCs/>
          <w:snapToGrid w:val="0"/>
          <w:color w:val="auto"/>
          <w:kern w:val="0"/>
          <w:sz w:val="32"/>
          <w:szCs w:val="32"/>
        </w:rPr>
        <w:t>月</w:t>
      </w:r>
    </w:p>
    <w:p w14:paraId="3D004077">
      <w:pPr>
        <w:pStyle w:val="16"/>
        <w:snapToGrid w:val="0"/>
        <w:ind w:firstLine="0" w:firstLineChars="0"/>
        <w:jc w:val="center"/>
        <w:rPr>
          <w:rFonts w:cs="黑体"/>
          <w:snapToGrid w:val="0"/>
          <w:color w:val="auto"/>
          <w:sz w:val="36"/>
          <w:szCs w:val="36"/>
        </w:rPr>
        <w:sectPr>
          <w:pgSz w:w="11906" w:h="16838"/>
          <w:pgMar w:top="1417" w:right="1417" w:bottom="1417" w:left="1417" w:header="851" w:footer="992" w:gutter="0"/>
          <w:pgNumType w:start="1"/>
          <w:cols w:space="720" w:num="1"/>
          <w:docGrid w:linePitch="312" w:charSpace="0"/>
        </w:sectPr>
      </w:pPr>
      <w:bookmarkStart w:id="0" w:name="_Toc167721039"/>
      <w:bookmarkStart w:id="1" w:name="_Toc89083367"/>
      <w:bookmarkStart w:id="2" w:name="_Toc31250"/>
      <w:bookmarkStart w:id="3" w:name="_Toc14443"/>
    </w:p>
    <w:p w14:paraId="09A70436">
      <w:pPr>
        <w:pStyle w:val="16"/>
        <w:snapToGrid w:val="0"/>
        <w:ind w:firstLine="0" w:firstLineChars="0"/>
        <w:jc w:val="center"/>
        <w:rPr>
          <w:rFonts w:hint="eastAsia" w:cs="黑体"/>
          <w:snapToGrid w:val="0"/>
          <w:color w:val="auto"/>
          <w:sz w:val="36"/>
          <w:szCs w:val="36"/>
        </w:rPr>
      </w:pPr>
      <w:r>
        <w:rPr>
          <w:rFonts w:hint="eastAsia" w:cs="黑体"/>
          <w:snapToGrid w:val="0"/>
          <w:color w:val="auto"/>
          <w:sz w:val="36"/>
          <w:szCs w:val="36"/>
        </w:rPr>
        <w:t>《养老顾问服务指南》行业标准</w:t>
      </w:r>
      <w:bookmarkEnd w:id="0"/>
      <w:bookmarkStart w:id="4" w:name="_Toc167721040"/>
    </w:p>
    <w:p w14:paraId="66ADD93A">
      <w:pPr>
        <w:pStyle w:val="16"/>
        <w:snapToGrid w:val="0"/>
        <w:ind w:firstLine="0" w:firstLineChars="0"/>
        <w:jc w:val="center"/>
        <w:rPr>
          <w:rFonts w:cs="黑体"/>
          <w:snapToGrid w:val="0"/>
          <w:color w:val="auto"/>
          <w:sz w:val="36"/>
          <w:szCs w:val="36"/>
        </w:rPr>
      </w:pPr>
      <w:r>
        <w:rPr>
          <w:rFonts w:hint="eastAsia" w:cs="黑体"/>
          <w:snapToGrid w:val="0"/>
          <w:color w:val="auto"/>
          <w:sz w:val="36"/>
          <w:szCs w:val="36"/>
        </w:rPr>
        <w:t>编制说明</w:t>
      </w:r>
      <w:bookmarkEnd w:id="4"/>
    </w:p>
    <w:p w14:paraId="5E31391C">
      <w:pPr>
        <w:pStyle w:val="16"/>
        <w:snapToGrid w:val="0"/>
        <w:ind w:firstLine="0"/>
        <w:rPr>
          <w:snapToGrid w:val="0"/>
          <w:color w:val="auto"/>
        </w:rPr>
      </w:pPr>
      <w:r>
        <w:rPr>
          <w:rFonts w:hint="eastAsia"/>
          <w:snapToGrid w:val="0"/>
          <w:color w:val="auto"/>
        </w:rPr>
        <w:t>一、工作简况</w:t>
      </w:r>
      <w:bookmarkEnd w:id="1"/>
      <w:bookmarkEnd w:id="2"/>
      <w:bookmarkEnd w:id="3"/>
    </w:p>
    <w:p w14:paraId="79157610">
      <w:pPr>
        <w:pStyle w:val="14"/>
        <w:snapToGrid w:val="0"/>
        <w:ind w:firstLine="0"/>
        <w:rPr>
          <w:rFonts w:ascii="方正楷体_GBK" w:hAnsi="方正楷体_GBK" w:cs="方正楷体_GBK"/>
          <w:snapToGrid w:val="0"/>
          <w:color w:val="auto"/>
          <w:kern w:val="0"/>
        </w:rPr>
      </w:pPr>
      <w:bookmarkStart w:id="5" w:name="_Toc379273491"/>
      <w:bookmarkStart w:id="6" w:name="_Toc23690"/>
      <w:bookmarkStart w:id="7" w:name="_Toc379268764"/>
      <w:bookmarkStart w:id="8" w:name="_Toc89083368"/>
      <w:r>
        <w:rPr>
          <w:rFonts w:hint="eastAsia" w:ascii="方正楷体_GBK" w:hAnsi="方正楷体_GBK" w:cs="方正楷体_GBK"/>
          <w:snapToGrid w:val="0"/>
          <w:color w:val="auto"/>
          <w:kern w:val="0"/>
        </w:rPr>
        <w:t>（一）任务来源</w:t>
      </w:r>
      <w:bookmarkEnd w:id="5"/>
      <w:bookmarkEnd w:id="6"/>
      <w:bookmarkEnd w:id="7"/>
      <w:bookmarkEnd w:id="8"/>
    </w:p>
    <w:p w14:paraId="0B24D3EF">
      <w:pPr>
        <w:pStyle w:val="14"/>
        <w:snapToGrid w:val="0"/>
        <w:ind w:firstLine="0"/>
        <w:rPr>
          <w:snapToGrid w:val="0"/>
          <w:color w:val="auto"/>
          <w:kern w:val="0"/>
        </w:rPr>
      </w:pPr>
      <w:bookmarkStart w:id="9" w:name="_Toc167721043"/>
      <w:bookmarkStart w:id="10" w:name="_Toc12795"/>
      <w:r>
        <w:rPr>
          <w:rFonts w:hint="eastAsia" w:ascii="方正仿宋_GBK" w:hAnsi="方正仿宋_GBK" w:eastAsia="方正仿宋_GBK" w:cs="仿宋"/>
          <w:snapToGrid w:val="0"/>
          <w:color w:val="auto"/>
          <w:kern w:val="0"/>
        </w:rPr>
        <w:t>2025年</w:t>
      </w:r>
      <w:r>
        <w:rPr>
          <w:rFonts w:hint="eastAsia" w:ascii="方正仿宋_GBK" w:hAnsi="方正仿宋_GBK" w:eastAsia="方正仿宋_GBK" w:cs="仿宋"/>
          <w:snapToGrid w:val="0"/>
          <w:color w:val="auto"/>
          <w:kern w:val="0"/>
          <w:lang w:val="en-US" w:eastAsia="zh-CN"/>
        </w:rPr>
        <w:t>8</w:t>
      </w:r>
      <w:r>
        <w:rPr>
          <w:rFonts w:hint="eastAsia" w:ascii="方正仿宋_GBK" w:hAnsi="方正仿宋_GBK" w:eastAsia="方正仿宋_GBK" w:cs="仿宋"/>
          <w:snapToGrid w:val="0"/>
          <w:color w:val="auto"/>
          <w:kern w:val="0"/>
        </w:rPr>
        <w:t>月，民政部办公厅</w:t>
      </w:r>
      <w:r>
        <w:rPr>
          <w:rFonts w:hint="eastAsia" w:ascii="方正仿宋_GBK" w:hAnsi="方正仿宋_GBK" w:eastAsia="方正仿宋_GBK" w:cs="仿宋"/>
          <w:snapToGrid w:val="0"/>
          <w:color w:val="auto"/>
          <w:kern w:val="0"/>
          <w:lang w:val="en-US" w:eastAsia="zh-CN"/>
        </w:rPr>
        <w:t>印发《2025年民政部标准制定计划》</w:t>
      </w:r>
      <w:r>
        <w:rPr>
          <w:rFonts w:hint="eastAsia" w:ascii="方正仿宋_GBK" w:hAnsi="方正仿宋_GBK" w:eastAsia="方正仿宋_GBK" w:cs="仿宋"/>
          <w:snapToGrid w:val="0"/>
          <w:color w:val="auto"/>
          <w:kern w:val="0"/>
        </w:rPr>
        <w:t>（民办函〔2025〕</w:t>
      </w:r>
      <w:r>
        <w:rPr>
          <w:rFonts w:hint="eastAsia" w:ascii="方正仿宋_GBK" w:hAnsi="方正仿宋_GBK" w:eastAsia="方正仿宋_GBK" w:cs="仿宋"/>
          <w:snapToGrid w:val="0"/>
          <w:color w:val="auto"/>
          <w:kern w:val="0"/>
          <w:lang w:val="en-US" w:eastAsia="zh-CN"/>
        </w:rPr>
        <w:t>35</w:t>
      </w:r>
      <w:r>
        <w:rPr>
          <w:rFonts w:hint="eastAsia" w:ascii="方正仿宋_GBK" w:hAnsi="方正仿宋_GBK" w:eastAsia="方正仿宋_GBK" w:cs="仿宋"/>
          <w:snapToGrid w:val="0"/>
          <w:color w:val="auto"/>
          <w:kern w:val="0"/>
        </w:rPr>
        <w:t>号）</w:t>
      </w:r>
      <w:r>
        <w:rPr>
          <w:rFonts w:hint="eastAsia" w:ascii="方正仿宋_GBK" w:hAnsi="方正仿宋_GBK" w:eastAsia="方正仿宋_GBK" w:cs="仿宋"/>
          <w:snapToGrid w:val="0"/>
          <w:color w:val="auto"/>
          <w:kern w:val="0"/>
          <w:lang w:eastAsia="zh-CN"/>
        </w:rPr>
        <w:t>，</w:t>
      </w:r>
      <w:r>
        <w:rPr>
          <w:rFonts w:hint="eastAsia" w:ascii="方正仿宋_GBK" w:hAnsi="方正仿宋_GBK" w:eastAsia="方正仿宋_GBK" w:cs="仿宋"/>
          <w:snapToGrid w:val="0"/>
          <w:color w:val="auto"/>
          <w:kern w:val="0"/>
          <w:lang w:val="en-US" w:eastAsia="zh-CN"/>
        </w:rPr>
        <w:t>行业标准《养老顾问服务指南》（MZ2025-T-014）立项</w:t>
      </w:r>
      <w:r>
        <w:rPr>
          <w:rFonts w:hint="eastAsia" w:ascii="方正仿宋_GBK" w:hAnsi="方正仿宋_GBK" w:eastAsia="方正仿宋_GBK" w:cs="仿宋"/>
          <w:snapToGrid w:val="0"/>
          <w:color w:val="auto"/>
          <w:kern w:val="0"/>
        </w:rPr>
        <w:t>。本标准由中华人民共和国民政部提出，由全国社会福利服务标准化技术委员会</w:t>
      </w:r>
      <w:r>
        <w:rPr>
          <w:rFonts w:hint="eastAsia" w:ascii="方正仿宋_GBK" w:hAnsi="方正仿宋_GBK" w:eastAsia="方正仿宋_GBK" w:cs="方正仿宋_GBK"/>
          <w:snapToGrid w:val="0"/>
          <w:color w:val="auto"/>
          <w:kern w:val="0"/>
          <w:szCs w:val="28"/>
        </w:rPr>
        <w:t>（SAC/TC 315）</w:t>
      </w:r>
      <w:r>
        <w:rPr>
          <w:rFonts w:hint="eastAsia" w:ascii="方正仿宋_GBK" w:hAnsi="方正仿宋_GBK" w:eastAsia="方正仿宋_GBK" w:cs="仿宋"/>
          <w:snapToGrid w:val="0"/>
          <w:color w:val="auto"/>
          <w:kern w:val="0"/>
        </w:rPr>
        <w:t>归口</w:t>
      </w:r>
      <w:bookmarkEnd w:id="9"/>
      <w:r>
        <w:rPr>
          <w:rFonts w:hint="eastAsia" w:ascii="方正仿宋_GBK" w:hAnsi="方正仿宋_GBK" w:eastAsia="方正仿宋_GBK" w:cs="仿宋"/>
          <w:snapToGrid w:val="0"/>
          <w:color w:val="auto"/>
          <w:kern w:val="0"/>
        </w:rPr>
        <w:t>。</w:t>
      </w:r>
    </w:p>
    <w:p w14:paraId="7A48CC02">
      <w:pPr>
        <w:pStyle w:val="14"/>
        <w:snapToGrid w:val="0"/>
        <w:ind w:firstLine="0"/>
        <w:rPr>
          <w:rFonts w:hint="eastAsia" w:ascii="方正仿宋_GBK" w:hAnsi="方正仿宋_GBK" w:eastAsia="方正仿宋_GBK" w:cs="仿宋"/>
          <w:snapToGrid w:val="0"/>
          <w:color w:val="auto"/>
          <w:kern w:val="0"/>
        </w:rPr>
      </w:pPr>
      <w:r>
        <w:rPr>
          <w:rFonts w:hint="eastAsia" w:ascii="方正仿宋_GBK" w:hAnsi="方正仿宋_GBK" w:eastAsia="方正仿宋_GBK" w:cs="仿宋"/>
          <w:snapToGrid w:val="0"/>
          <w:color w:val="auto"/>
          <w:kern w:val="0"/>
        </w:rPr>
        <w:t>本标准主要起草单位为绍兴市民政局</w:t>
      </w:r>
      <w:r>
        <w:rPr>
          <w:rFonts w:hint="eastAsia" w:ascii="方正仿宋_GBK" w:hAnsi="方正仿宋_GBK" w:eastAsia="方正仿宋_GBK" w:cs="仿宋"/>
          <w:snapToGrid w:val="0"/>
          <w:color w:val="auto"/>
          <w:kern w:val="0"/>
          <w:lang w:eastAsia="zh-CN"/>
        </w:rPr>
        <w:t>、</w:t>
      </w:r>
      <w:r>
        <w:rPr>
          <w:rFonts w:hint="eastAsia" w:ascii="方正仿宋_GBK" w:hAnsi="方正仿宋_GBK" w:eastAsia="方正仿宋_GBK" w:cs="仿宋"/>
          <w:snapToGrid w:val="0"/>
          <w:color w:val="auto"/>
          <w:kern w:val="0"/>
          <w:lang w:val="en-US" w:eastAsia="zh-CN"/>
        </w:rPr>
        <w:t>民政部社会福利中心、绍兴市福利彩票发行中心等</w:t>
      </w:r>
      <w:r>
        <w:rPr>
          <w:rFonts w:hint="eastAsia" w:ascii="方正仿宋_GBK" w:hAnsi="方正仿宋_GBK" w:eastAsia="方正仿宋_GBK" w:cs="仿宋"/>
          <w:snapToGrid w:val="0"/>
          <w:color w:val="auto"/>
          <w:kern w:val="0"/>
        </w:rPr>
        <w:t>。</w:t>
      </w:r>
    </w:p>
    <w:p w14:paraId="5478B093">
      <w:pPr>
        <w:pStyle w:val="14"/>
        <w:snapToGrid w:val="0"/>
        <w:ind w:firstLine="0"/>
        <w:rPr>
          <w:rFonts w:ascii="方正楷体_GBK" w:hAnsi="方正楷体_GBK" w:cs="方正楷体_GBK"/>
          <w:snapToGrid w:val="0"/>
          <w:color w:val="auto"/>
          <w:kern w:val="0"/>
        </w:rPr>
      </w:pPr>
      <w:r>
        <w:rPr>
          <w:rFonts w:hint="eastAsia" w:ascii="方正楷体_GBK" w:hAnsi="方正楷体_GBK" w:cs="方正楷体_GBK"/>
          <w:snapToGrid w:val="0"/>
          <w:color w:val="auto"/>
          <w:kern w:val="0"/>
        </w:rPr>
        <w:t>（二）制定背景</w:t>
      </w:r>
    </w:p>
    <w:p w14:paraId="09161969">
      <w:pPr>
        <w:pStyle w:val="14"/>
        <w:adjustRightInd w:val="0"/>
        <w:snapToGrid w:val="0"/>
        <w:ind w:firstLine="0"/>
        <w:rPr>
          <w:rFonts w:ascii="方正仿宋_GBK" w:hAnsi="方正仿宋_GBK" w:eastAsia="方正仿宋_GBK" w:cs="方正仿宋_GBK"/>
          <w:snapToGrid w:val="0"/>
          <w:color w:val="auto"/>
          <w:kern w:val="0"/>
        </w:rPr>
      </w:pPr>
      <w:bookmarkStart w:id="11" w:name="_Toc167721045"/>
      <w:bookmarkStart w:id="12" w:name="_Toc89083370"/>
      <w:r>
        <w:rPr>
          <w:rFonts w:hint="eastAsia" w:ascii="方正仿宋_GBK" w:hAnsi="方正仿宋_GBK" w:eastAsia="方正仿宋_GBK" w:cs="方正仿宋_GBK"/>
          <w:snapToGrid w:val="0"/>
          <w:color w:val="auto"/>
          <w:kern w:val="0"/>
        </w:rPr>
        <w:t>1</w:t>
      </w:r>
      <w:r>
        <w:rPr>
          <w:rFonts w:hint="eastAsia" w:ascii="方正仿宋_GBK" w:hAnsi="方正仿宋_GBK" w:eastAsia="方正仿宋_GBK" w:cs="方正仿宋_GBK"/>
          <w:snapToGrid w:val="0"/>
          <w:color w:val="auto"/>
          <w:kern w:val="0"/>
          <w:lang w:eastAsia="zh-CN"/>
        </w:rPr>
        <w:t>.</w:t>
      </w:r>
      <w:r>
        <w:rPr>
          <w:rFonts w:hint="eastAsia" w:ascii="方正仿宋_GBK" w:hAnsi="方正仿宋_GBK" w:eastAsia="方正仿宋_GBK" w:cs="方正仿宋_GBK"/>
          <w:snapToGrid w:val="0"/>
          <w:color w:val="auto"/>
          <w:kern w:val="0"/>
        </w:rPr>
        <w:t>必要性</w:t>
      </w:r>
    </w:p>
    <w:p w14:paraId="14317C70">
      <w:pPr>
        <w:pStyle w:val="14"/>
        <w:adjustRightInd w:val="0"/>
        <w:snapToGrid w:val="0"/>
        <w:ind w:firstLine="0"/>
        <w:rPr>
          <w:rFonts w:ascii="方正仿宋_GBK" w:hAnsi="方正仿宋_GBK" w:eastAsia="方正仿宋_GBK" w:cs="方正仿宋_GBK"/>
          <w:snapToGrid w:val="0"/>
          <w:color w:val="auto"/>
          <w:kern w:val="0"/>
        </w:rPr>
      </w:pPr>
      <w:r>
        <w:rPr>
          <w:rFonts w:hint="eastAsia" w:ascii="方正仿宋_GBK" w:hAnsi="方正仿宋_GBK" w:eastAsia="方正仿宋_GBK" w:cs="方正仿宋_GBK"/>
          <w:snapToGrid w:val="0"/>
          <w:color w:val="auto"/>
          <w:kern w:val="0"/>
        </w:rPr>
        <w:t>国家统计局数据</w:t>
      </w:r>
      <w:r>
        <w:rPr>
          <w:rFonts w:hint="eastAsia" w:ascii="方正仿宋_GBK" w:hAnsi="方正仿宋_GBK" w:eastAsia="方正仿宋_GBK" w:cs="方正仿宋_GBK"/>
          <w:snapToGrid w:val="0"/>
          <w:color w:val="auto"/>
          <w:kern w:val="0"/>
          <w:lang w:eastAsia="zh-CN"/>
        </w:rPr>
        <w:t>显示</w:t>
      </w:r>
      <w:r>
        <w:rPr>
          <w:rFonts w:hint="eastAsia" w:ascii="方正仿宋_GBK" w:hAnsi="方正仿宋_GBK" w:eastAsia="方正仿宋_GBK" w:cs="方正仿宋_GBK"/>
          <w:snapToGrid w:val="0"/>
          <w:color w:val="auto"/>
          <w:kern w:val="0"/>
        </w:rPr>
        <w:t>，截至2025年末，全国60周岁及以上老年人口32338万人，占总人口的23.0%；其中65周岁及以上老年人口22365万人，占总人口的15.9%。</w:t>
      </w:r>
      <w:r>
        <w:rPr>
          <w:rFonts w:hint="eastAsia" w:ascii="方正仿宋_GBK" w:hAnsi="方正仿宋_GBK" w:eastAsia="方正仿宋_GBK" w:cs="仿宋"/>
          <w:snapToGrid w:val="0"/>
          <w:color w:val="auto"/>
          <w:kern w:val="0"/>
          <w:lang w:eastAsia="zh-CN"/>
        </w:rPr>
        <w:t>我国人口</w:t>
      </w:r>
      <w:r>
        <w:rPr>
          <w:rFonts w:hint="eastAsia" w:ascii="方正仿宋_GBK" w:hAnsi="方正仿宋_GBK" w:eastAsia="方正仿宋_GBK" w:cs="方正仿宋_GBK"/>
          <w:snapToGrid w:val="0"/>
          <w:color w:val="auto"/>
          <w:kern w:val="0"/>
        </w:rPr>
        <w:t>老龄化进程不断加快，积极应对人口老龄化，事关国家发展全局。</w:t>
      </w:r>
    </w:p>
    <w:p w14:paraId="6AF881E1">
      <w:pPr>
        <w:pStyle w:val="14"/>
        <w:snapToGrid w:val="0"/>
        <w:ind w:firstLine="0"/>
        <w:rPr>
          <w:rFonts w:ascii="方正仿宋_GBK" w:hAnsi="方正仿宋_GBK" w:eastAsia="方正仿宋_GBK" w:cs="仿宋"/>
          <w:snapToGrid w:val="0"/>
          <w:color w:val="auto"/>
          <w:kern w:val="0"/>
        </w:rPr>
      </w:pPr>
      <w:r>
        <w:rPr>
          <w:rFonts w:hint="eastAsia" w:ascii="方正仿宋_GBK" w:hAnsi="方正仿宋_GBK" w:eastAsia="方正仿宋_GBK" w:cs="仿宋"/>
          <w:snapToGrid w:val="0"/>
          <w:color w:val="auto"/>
          <w:kern w:val="0"/>
        </w:rPr>
        <w:t>2024年10月31日，民政部联合商务部等23个部门印发《关于进一步促进养老服务消费 提升老年人生活品质的若干措施》</w:t>
      </w:r>
      <w:r>
        <w:rPr>
          <w:rFonts w:hint="eastAsia" w:ascii="方正仿宋_GBK" w:hAnsi="方正仿宋_GBK" w:eastAsia="方正仿宋_GBK" w:cs="仿宋"/>
          <w:snapToGrid w:val="0"/>
          <w:color w:val="auto"/>
          <w:kern w:val="0"/>
          <w:lang w:eastAsia="zh-CN"/>
        </w:rPr>
        <w:t>，提出</w:t>
      </w:r>
      <w:r>
        <w:rPr>
          <w:rFonts w:hint="eastAsia" w:ascii="方正仿宋_GBK" w:hAnsi="方正仿宋_GBK" w:eastAsia="方正仿宋_GBK" w:cs="仿宋"/>
          <w:snapToGrid w:val="0"/>
          <w:color w:val="auto"/>
          <w:kern w:val="0"/>
        </w:rPr>
        <w:t>推广“养老顾问”模式，为老年人提供政策咨询、委托代办、资源链接等服务，参与制定个性化照护服务计划与方案。2024年12月30日，《中共中央 国务院关于深化养老服务改革发展的意见》提出，探索开展“养老顾问”服务，提供专业咨询、委托代办等助老项目。</w:t>
      </w:r>
      <w:r>
        <w:rPr>
          <w:rFonts w:hint="eastAsia" w:ascii="方正仿宋_GBK" w:hAnsi="方正仿宋_GBK" w:eastAsia="方正仿宋_GBK" w:cs="仿宋"/>
          <w:snapToGrid w:val="0"/>
          <w:color w:val="auto"/>
          <w:kern w:val="0"/>
          <w:lang w:eastAsia="zh-CN"/>
        </w:rPr>
        <w:t>养老顾问</w:t>
      </w:r>
      <w:r>
        <w:rPr>
          <w:rFonts w:hint="eastAsia" w:ascii="方正仿宋_GBK" w:hAnsi="方正仿宋_GBK" w:eastAsia="方正仿宋_GBK" w:cs="仿宋"/>
          <w:snapToGrid w:val="0"/>
          <w:color w:val="auto"/>
          <w:kern w:val="0"/>
          <w:lang w:val="en-US" w:eastAsia="zh-CN"/>
        </w:rPr>
        <w:t>服务</w:t>
      </w:r>
      <w:r>
        <w:rPr>
          <w:rFonts w:hint="eastAsia" w:ascii="方正仿宋_GBK" w:hAnsi="方正仿宋_GBK" w:eastAsia="方正仿宋_GBK" w:cs="仿宋"/>
          <w:snapToGrid w:val="0"/>
          <w:color w:val="auto"/>
          <w:kern w:val="0"/>
        </w:rPr>
        <w:t>是</w:t>
      </w:r>
      <w:r>
        <w:rPr>
          <w:rFonts w:hint="eastAsia" w:ascii="方正仿宋_GBK" w:hAnsi="方正仿宋_GBK" w:eastAsia="方正仿宋_GBK" w:cs="仿宋"/>
          <w:snapToGrid w:val="0"/>
          <w:color w:val="auto"/>
          <w:kern w:val="0"/>
          <w:lang w:val="en-US" w:eastAsia="zh-CN"/>
        </w:rPr>
        <w:t>进一步</w:t>
      </w:r>
      <w:r>
        <w:rPr>
          <w:rFonts w:hint="eastAsia" w:ascii="方正仿宋_GBK" w:hAnsi="方正仿宋_GBK" w:eastAsia="方正仿宋_GBK" w:cs="仿宋"/>
          <w:snapToGrid w:val="0"/>
          <w:color w:val="auto"/>
          <w:kern w:val="0"/>
        </w:rPr>
        <w:t>提升养老服务水平、精准对接服务需求的关键举措</w:t>
      </w:r>
      <w:r>
        <w:rPr>
          <w:rFonts w:hint="eastAsia" w:ascii="方正仿宋_GBK" w:hAnsi="方正仿宋_GBK" w:eastAsia="方正仿宋_GBK" w:cs="仿宋"/>
          <w:snapToGrid w:val="0"/>
          <w:color w:val="auto"/>
          <w:kern w:val="0"/>
          <w:lang w:eastAsia="zh-CN"/>
        </w:rPr>
        <w:t>，</w:t>
      </w:r>
      <w:r>
        <w:rPr>
          <w:rFonts w:hint="eastAsia" w:ascii="方正仿宋_GBK" w:hAnsi="方正仿宋_GBK" w:eastAsia="方正仿宋_GBK" w:cs="仿宋"/>
          <w:snapToGrid w:val="0"/>
          <w:color w:val="auto"/>
          <w:kern w:val="0"/>
        </w:rPr>
        <w:t>制定养老顾问服务标准是贯彻落实有关政策文件</w:t>
      </w:r>
      <w:r>
        <w:rPr>
          <w:rFonts w:hint="eastAsia" w:ascii="方正仿宋_GBK" w:hAnsi="方正仿宋_GBK" w:eastAsia="方正仿宋_GBK" w:cs="仿宋"/>
          <w:i w:val="0"/>
          <w:iCs w:val="0"/>
          <w:caps w:val="0"/>
          <w:snapToGrid w:val="0"/>
          <w:color w:val="auto"/>
          <w:spacing w:val="0"/>
          <w:kern w:val="0"/>
          <w:sz w:val="32"/>
          <w:szCs w:val="32"/>
          <w:shd w:val="clear"/>
        </w:rPr>
        <w:t>要求、推动服务规范化专业化发展的重要实施路径。</w:t>
      </w:r>
    </w:p>
    <w:bookmarkEnd w:id="11"/>
    <w:p w14:paraId="117BD7A3">
      <w:pPr>
        <w:pStyle w:val="14"/>
        <w:snapToGrid w:val="0"/>
        <w:ind w:firstLine="0"/>
        <w:rPr>
          <w:rFonts w:hint="eastAsia" w:ascii="方正仿宋_GBK" w:hAnsi="方正仿宋_GBK" w:eastAsia="方正仿宋_GBK" w:cs="仿宋"/>
          <w:snapToGrid w:val="0"/>
          <w:color w:val="auto"/>
          <w:kern w:val="0"/>
        </w:rPr>
      </w:pPr>
      <w:r>
        <w:rPr>
          <w:rFonts w:hint="eastAsia" w:ascii="方正仿宋_GBK" w:hAnsi="方正仿宋_GBK" w:eastAsia="方正仿宋_GBK" w:cs="仿宋"/>
          <w:snapToGrid w:val="0"/>
          <w:color w:val="auto"/>
          <w:kern w:val="0"/>
        </w:rPr>
        <w:t>目前，上海市、江苏省、浙江省、重庆市、四川省等地开展了养老顾问服务探索，</w:t>
      </w:r>
      <w:r>
        <w:rPr>
          <w:rFonts w:hint="eastAsia" w:ascii="方正仿宋_GBK" w:hAnsi="方正仿宋_GBK" w:eastAsia="方正仿宋_GBK" w:cs="仿宋"/>
          <w:snapToGrid w:val="0"/>
          <w:color w:val="auto"/>
          <w:kern w:val="0"/>
          <w:lang w:eastAsia="zh-CN"/>
        </w:rPr>
        <w:t>全国多地</w:t>
      </w:r>
      <w:r>
        <w:rPr>
          <w:rFonts w:hint="eastAsia" w:ascii="方正仿宋_GBK" w:hAnsi="方正仿宋_GBK" w:eastAsia="方正仿宋_GBK" w:cs="仿宋"/>
          <w:snapToGrid w:val="0"/>
          <w:color w:val="auto"/>
          <w:kern w:val="0"/>
        </w:rPr>
        <w:t>出台的养老服务改革发展文件明确了探索养老顾问服务的相关措施</w:t>
      </w:r>
      <w:r>
        <w:rPr>
          <w:rFonts w:hint="eastAsia" w:ascii="方正仿宋_GBK" w:hAnsi="方正仿宋_GBK" w:eastAsia="方正仿宋_GBK" w:cs="仿宋"/>
          <w:snapToGrid w:val="0"/>
          <w:color w:val="auto"/>
          <w:kern w:val="0"/>
          <w:lang w:eastAsia="zh-CN"/>
        </w:rPr>
        <w:t>。同时，各地</w:t>
      </w:r>
      <w:r>
        <w:rPr>
          <w:rFonts w:hint="eastAsia" w:ascii="方正仿宋_GBK" w:hAnsi="方正仿宋_GBK" w:eastAsia="方正仿宋_GBK" w:cs="仿宋"/>
          <w:snapToGrid w:val="0"/>
          <w:color w:val="auto"/>
          <w:kern w:val="0"/>
        </w:rPr>
        <w:t>在发展养老顾问服务、创新服务模式等工作中积累了丰富的实践经验。例如，上海市</w:t>
      </w:r>
      <w:r>
        <w:rPr>
          <w:rFonts w:hint="eastAsia" w:ascii="方正仿宋_GBK" w:hAnsi="方正仿宋_GBK" w:eastAsia="方正仿宋_GBK" w:cs="仿宋"/>
          <w:snapToGrid w:val="0"/>
          <w:color w:val="auto"/>
          <w:kern w:val="0"/>
          <w:lang w:eastAsia="zh-CN"/>
        </w:rPr>
        <w:t>从</w:t>
      </w:r>
      <w:r>
        <w:rPr>
          <w:rFonts w:hint="eastAsia" w:ascii="方正仿宋_GBK" w:hAnsi="方正仿宋_GBK" w:eastAsia="方正仿宋_GBK" w:cs="仿宋"/>
          <w:snapToGrid w:val="0"/>
          <w:color w:val="auto"/>
          <w:kern w:val="0"/>
          <w:lang w:val="en-US" w:eastAsia="zh-CN"/>
        </w:rPr>
        <w:t>2018年起，在全市开展养老顾问服务</w:t>
      </w:r>
      <w:r>
        <w:rPr>
          <w:rFonts w:hint="eastAsia" w:ascii="方正仿宋_GBK" w:hAnsi="方正仿宋_GBK" w:eastAsia="方正仿宋_GBK" w:cs="仿宋"/>
          <w:snapToGrid w:val="0"/>
          <w:color w:val="auto"/>
          <w:kern w:val="0"/>
          <w:lang w:eastAsia="zh-CN"/>
        </w:rPr>
        <w:t>，截至目前，全市</w:t>
      </w:r>
      <w:r>
        <w:rPr>
          <w:rFonts w:hint="eastAsia" w:ascii="方正仿宋_GBK" w:hAnsi="方正仿宋_GBK" w:eastAsia="方正仿宋_GBK" w:cs="仿宋"/>
          <w:snapToGrid w:val="0"/>
          <w:color w:val="auto"/>
          <w:kern w:val="0"/>
        </w:rPr>
        <w:t>有养老顾问1万多名，在街</w:t>
      </w:r>
      <w:r>
        <w:rPr>
          <w:rFonts w:hint="eastAsia" w:ascii="方正仿宋_GBK" w:hAnsi="方正仿宋_GBK" w:eastAsia="方正仿宋_GBK" w:cs="仿宋"/>
          <w:snapToGrid w:val="0"/>
          <w:color w:val="auto"/>
          <w:kern w:val="0"/>
          <w:lang w:eastAsia="zh-CN"/>
        </w:rPr>
        <w:t>（</w:t>
      </w:r>
      <w:r>
        <w:rPr>
          <w:rFonts w:hint="eastAsia" w:ascii="方正仿宋_GBK" w:hAnsi="方正仿宋_GBK" w:eastAsia="方正仿宋_GBK" w:cs="仿宋"/>
          <w:snapToGrid w:val="0"/>
          <w:color w:val="auto"/>
          <w:kern w:val="0"/>
        </w:rPr>
        <w:t>镇</w:t>
      </w:r>
      <w:r>
        <w:rPr>
          <w:rFonts w:hint="eastAsia" w:ascii="方正仿宋_GBK" w:hAnsi="方正仿宋_GBK" w:eastAsia="方正仿宋_GBK" w:cs="仿宋"/>
          <w:snapToGrid w:val="0"/>
          <w:color w:val="auto"/>
          <w:kern w:val="0"/>
          <w:lang w:eastAsia="zh-CN"/>
        </w:rPr>
        <w:t>）</w:t>
      </w:r>
      <w:r>
        <w:rPr>
          <w:rFonts w:hint="eastAsia" w:ascii="方正仿宋_GBK" w:hAnsi="方正仿宋_GBK" w:eastAsia="方正仿宋_GBK" w:cs="仿宋"/>
          <w:snapToGrid w:val="0"/>
          <w:color w:val="auto"/>
          <w:kern w:val="0"/>
        </w:rPr>
        <w:t>、村</w:t>
      </w:r>
      <w:r>
        <w:rPr>
          <w:rFonts w:hint="eastAsia" w:ascii="方正仿宋_GBK" w:hAnsi="方正仿宋_GBK" w:eastAsia="方正仿宋_GBK" w:cs="仿宋"/>
          <w:snapToGrid w:val="0"/>
          <w:color w:val="auto"/>
          <w:kern w:val="0"/>
          <w:lang w:eastAsia="zh-CN"/>
        </w:rPr>
        <w:t>（</w:t>
      </w:r>
      <w:r>
        <w:rPr>
          <w:rFonts w:hint="eastAsia" w:ascii="方正仿宋_GBK" w:hAnsi="方正仿宋_GBK" w:eastAsia="方正仿宋_GBK" w:cs="仿宋"/>
          <w:snapToGrid w:val="0"/>
          <w:color w:val="auto"/>
          <w:kern w:val="0"/>
        </w:rPr>
        <w:t>居</w:t>
      </w:r>
      <w:r>
        <w:rPr>
          <w:rFonts w:hint="eastAsia" w:ascii="方正仿宋_GBK" w:hAnsi="方正仿宋_GBK" w:eastAsia="方正仿宋_GBK" w:cs="仿宋"/>
          <w:snapToGrid w:val="0"/>
          <w:color w:val="auto"/>
          <w:kern w:val="0"/>
          <w:lang w:eastAsia="zh-CN"/>
        </w:rPr>
        <w:t>）</w:t>
      </w:r>
      <w:r>
        <w:rPr>
          <w:rFonts w:hint="eastAsia" w:ascii="方正仿宋_GBK" w:hAnsi="方正仿宋_GBK" w:eastAsia="方正仿宋_GBK" w:cs="仿宋"/>
          <w:snapToGrid w:val="0"/>
          <w:color w:val="auto"/>
          <w:kern w:val="0"/>
        </w:rPr>
        <w:t>、社区设置7000多个养老顾问服务点，每年服务和办理事项4万余件；杭州市西湖区的养老顾问团队由社区签约医生、助老员、法律顾问、心理专家等组成，为老年人提供日常关爱、养老政策咨询和个性化养老方案制定等服务。</w:t>
      </w:r>
    </w:p>
    <w:p w14:paraId="538A0789">
      <w:pPr>
        <w:pStyle w:val="14"/>
        <w:snapToGrid w:val="0"/>
        <w:ind w:firstLine="0"/>
        <w:rPr>
          <w:rFonts w:ascii="方正仿宋_GBK" w:hAnsi="方正仿宋_GBK" w:eastAsia="方正仿宋_GBK" w:cs="仿宋"/>
          <w:snapToGrid w:val="0"/>
          <w:color w:val="auto"/>
          <w:kern w:val="0"/>
        </w:rPr>
      </w:pPr>
      <w:r>
        <w:rPr>
          <w:rFonts w:hint="eastAsia" w:ascii="方正仿宋_GBK" w:hAnsi="方正仿宋_GBK" w:eastAsia="方正仿宋_GBK" w:cs="仿宋"/>
          <w:snapToGrid w:val="0"/>
          <w:color w:val="auto"/>
          <w:kern w:val="0"/>
        </w:rPr>
        <w:t>然而，</w:t>
      </w:r>
      <w:r>
        <w:rPr>
          <w:rFonts w:hint="eastAsia" w:ascii="方正仿宋_GBK" w:hAnsi="方正仿宋_GBK" w:eastAsia="方正仿宋_GBK" w:cs="仿宋"/>
          <w:snapToGrid w:val="0"/>
          <w:color w:val="auto"/>
          <w:kern w:val="0"/>
          <w:lang w:eastAsia="zh-CN"/>
        </w:rPr>
        <w:t>养老顾问服务仍存在</w:t>
      </w:r>
      <w:r>
        <w:rPr>
          <w:rFonts w:hint="eastAsia" w:ascii="方正仿宋_GBK" w:hAnsi="方正仿宋_GBK" w:eastAsia="方正仿宋_GBK" w:cs="仿宋"/>
          <w:snapToGrid w:val="0"/>
          <w:color w:val="auto"/>
          <w:kern w:val="0"/>
        </w:rPr>
        <w:t>基本概念不清晰</w:t>
      </w:r>
      <w:r>
        <w:rPr>
          <w:rFonts w:hint="eastAsia" w:ascii="方正仿宋_GBK" w:hAnsi="方正仿宋_GBK" w:eastAsia="方正仿宋_GBK" w:cs="仿宋"/>
          <w:snapToGrid w:val="0"/>
          <w:color w:val="auto"/>
          <w:kern w:val="0"/>
          <w:lang w:eastAsia="zh-CN"/>
        </w:rPr>
        <w:t>，</w:t>
      </w:r>
      <w:r>
        <w:rPr>
          <w:rFonts w:hint="eastAsia" w:ascii="方正仿宋_GBK" w:hAnsi="方正仿宋_GBK" w:eastAsia="方正仿宋_GBK" w:cs="仿宋"/>
          <w:snapToGrid w:val="0"/>
          <w:color w:val="auto"/>
          <w:kern w:val="0"/>
        </w:rPr>
        <w:t>服务参与主体、服务对象、服务内容</w:t>
      </w:r>
      <w:r>
        <w:rPr>
          <w:rFonts w:hint="eastAsia" w:ascii="方正仿宋_GBK" w:hAnsi="方正仿宋_GBK" w:eastAsia="方正仿宋_GBK" w:cs="仿宋"/>
          <w:snapToGrid w:val="0"/>
          <w:color w:val="auto"/>
          <w:kern w:val="0"/>
          <w:lang w:eastAsia="zh-CN"/>
        </w:rPr>
        <w:t>未</w:t>
      </w:r>
      <w:r>
        <w:rPr>
          <w:rFonts w:hint="eastAsia" w:ascii="方正仿宋_GBK" w:hAnsi="方正仿宋_GBK" w:eastAsia="方正仿宋_GBK" w:cs="仿宋"/>
          <w:snapToGrid w:val="0"/>
          <w:color w:val="auto"/>
          <w:kern w:val="0"/>
        </w:rPr>
        <w:t>形成统一的认识</w:t>
      </w:r>
      <w:r>
        <w:rPr>
          <w:rFonts w:hint="eastAsia" w:ascii="方正仿宋_GBK" w:hAnsi="方正仿宋_GBK" w:eastAsia="方正仿宋_GBK" w:cs="仿宋"/>
          <w:snapToGrid w:val="0"/>
          <w:color w:val="auto"/>
          <w:kern w:val="0"/>
          <w:lang w:eastAsia="zh-CN"/>
        </w:rPr>
        <w:t>，服务性质定位不明确，服务质量缺乏有效评估等问题。</w:t>
      </w:r>
      <w:r>
        <w:rPr>
          <w:rFonts w:hint="eastAsia" w:ascii="方正仿宋_GBK" w:hAnsi="方正仿宋_GBK" w:eastAsia="方正仿宋_GBK" w:cs="仿宋"/>
          <w:snapToGrid w:val="0"/>
          <w:color w:val="auto"/>
          <w:kern w:val="0"/>
        </w:rPr>
        <w:t>需要构建一个全面覆盖、协调统一的指南标准，作为指导各地规范开展养老顾问服务的技术支撑，明晰养老顾问服务基本概念</w:t>
      </w:r>
      <w:r>
        <w:rPr>
          <w:rFonts w:hint="eastAsia" w:ascii="方正仿宋_GBK" w:hAnsi="方正仿宋_GBK" w:eastAsia="方正仿宋_GBK" w:cs="仿宋"/>
          <w:snapToGrid w:val="0"/>
          <w:color w:val="auto"/>
          <w:kern w:val="0"/>
          <w:lang w:eastAsia="zh-CN"/>
        </w:rPr>
        <w:t>，</w:t>
      </w:r>
      <w:r>
        <w:rPr>
          <w:rFonts w:hint="eastAsia" w:ascii="方正仿宋_GBK" w:hAnsi="方正仿宋_GBK" w:eastAsia="方正仿宋_GBK" w:cs="仿宋"/>
          <w:snapToGrid w:val="0"/>
          <w:color w:val="auto"/>
          <w:kern w:val="0"/>
        </w:rPr>
        <w:t>明确服务基本定位，培育引导</w:t>
      </w:r>
      <w:r>
        <w:rPr>
          <w:rFonts w:hint="eastAsia" w:ascii="方正仿宋_GBK" w:hAnsi="方正仿宋_GBK" w:eastAsia="方正仿宋_GBK" w:cs="仿宋"/>
          <w:snapToGrid w:val="0"/>
          <w:color w:val="auto"/>
          <w:kern w:val="0"/>
          <w:lang w:eastAsia="zh-CN"/>
        </w:rPr>
        <w:t>服务规范</w:t>
      </w:r>
      <w:r>
        <w:rPr>
          <w:rFonts w:hint="eastAsia" w:ascii="方正仿宋_GBK" w:hAnsi="方正仿宋_GBK" w:eastAsia="方正仿宋_GBK" w:cs="仿宋"/>
          <w:snapToGrid w:val="0"/>
          <w:color w:val="auto"/>
          <w:kern w:val="0"/>
        </w:rPr>
        <w:t>化</w:t>
      </w:r>
      <w:r>
        <w:rPr>
          <w:rFonts w:hint="eastAsia" w:ascii="方正仿宋_GBK" w:hAnsi="方正仿宋_GBK" w:eastAsia="方正仿宋_GBK" w:cs="仿宋"/>
          <w:snapToGrid w:val="0"/>
          <w:color w:val="auto"/>
          <w:kern w:val="0"/>
          <w:lang w:eastAsia="zh-CN"/>
        </w:rPr>
        <w:t>发展</w:t>
      </w:r>
      <w:r>
        <w:rPr>
          <w:rFonts w:hint="eastAsia" w:ascii="方正仿宋_GBK" w:hAnsi="方正仿宋_GBK" w:eastAsia="方正仿宋_GBK" w:cs="仿宋"/>
          <w:snapToGrid w:val="0"/>
          <w:color w:val="auto"/>
          <w:kern w:val="0"/>
        </w:rPr>
        <w:t>，</w:t>
      </w:r>
      <w:r>
        <w:rPr>
          <w:rFonts w:hint="eastAsia" w:ascii="方正仿宋_GBK" w:hAnsi="方正仿宋_GBK" w:eastAsia="方正仿宋_GBK" w:cs="仿宋"/>
          <w:snapToGrid w:val="0"/>
          <w:color w:val="auto"/>
          <w:kern w:val="0"/>
          <w:lang w:eastAsia="zh-CN"/>
        </w:rPr>
        <w:t>为后续</w:t>
      </w:r>
      <w:r>
        <w:rPr>
          <w:rFonts w:hint="eastAsia" w:ascii="方正仿宋_GBK" w:hAnsi="方正仿宋_GBK" w:eastAsia="方正仿宋_GBK" w:cs="仿宋"/>
          <w:snapToGrid w:val="0"/>
          <w:color w:val="auto"/>
          <w:kern w:val="0"/>
        </w:rPr>
        <w:t>服务质量监管</w:t>
      </w:r>
      <w:r>
        <w:rPr>
          <w:rFonts w:hint="eastAsia" w:ascii="方正仿宋_GBK" w:hAnsi="方正仿宋_GBK" w:eastAsia="方正仿宋_GBK" w:cs="仿宋"/>
          <w:snapToGrid w:val="0"/>
          <w:color w:val="auto"/>
          <w:kern w:val="0"/>
          <w:lang w:eastAsia="zh-CN"/>
        </w:rPr>
        <w:t>提供依据</w:t>
      </w:r>
      <w:r>
        <w:rPr>
          <w:rFonts w:hint="eastAsia" w:ascii="方正仿宋_GBK" w:hAnsi="方正仿宋_GBK" w:eastAsia="方正仿宋_GBK" w:cs="仿宋"/>
          <w:snapToGrid w:val="0"/>
          <w:color w:val="auto"/>
          <w:kern w:val="0"/>
        </w:rPr>
        <w:t>。精准对接老年人需求，为老年人提供更加连贯、高效、贴心的服务体验。</w:t>
      </w:r>
    </w:p>
    <w:p w14:paraId="0292DB44">
      <w:pPr>
        <w:pStyle w:val="14"/>
        <w:snapToGrid w:val="0"/>
        <w:ind w:firstLine="0"/>
        <w:rPr>
          <w:rFonts w:ascii="方正仿宋_GBK" w:hAnsi="方正仿宋_GBK" w:eastAsia="方正仿宋_GBK" w:cs="仿宋"/>
          <w:snapToGrid w:val="0"/>
          <w:color w:val="auto"/>
          <w:kern w:val="0"/>
        </w:rPr>
      </w:pPr>
      <w:r>
        <w:rPr>
          <w:rFonts w:hint="eastAsia" w:ascii="方正仿宋_GBK" w:hAnsi="方正仿宋_GBK" w:eastAsia="方正仿宋_GBK" w:cs="仿宋"/>
          <w:snapToGrid w:val="0"/>
          <w:color w:val="auto"/>
          <w:kern w:val="0"/>
        </w:rPr>
        <w:t>为贯彻落实有关政策文件精神和工作部署，将文件</w:t>
      </w:r>
      <w:r>
        <w:rPr>
          <w:rFonts w:hint="eastAsia" w:ascii="方正仿宋_GBK" w:hAnsi="方正仿宋_GBK" w:eastAsia="方正仿宋_GBK" w:cs="仿宋"/>
          <w:snapToGrid w:val="0"/>
          <w:color w:val="auto"/>
          <w:kern w:val="0"/>
          <w:lang w:eastAsia="zh-CN"/>
        </w:rPr>
        <w:t>中对</w:t>
      </w:r>
      <w:r>
        <w:rPr>
          <w:rFonts w:hint="eastAsia" w:ascii="方正仿宋_GBK" w:hAnsi="方正仿宋_GBK" w:eastAsia="方正仿宋_GBK" w:cs="仿宋"/>
          <w:snapToGrid w:val="0"/>
          <w:color w:val="auto"/>
          <w:kern w:val="0"/>
        </w:rPr>
        <w:t>“养老顾问”服务的宏观要求转化为可量化、可复制的操作要求，确保政策在全国范围内有效落地，亟需制定全国统一、具体明确、可操作性强的标准，为养老顾问服务提供相应的技术指引，确保养老顾问服务科学合理、质量过硬，保障老年人平等、便捷获取优质养老服务。</w:t>
      </w:r>
      <w:bookmarkStart w:id="13" w:name="_Toc167721046"/>
    </w:p>
    <w:p w14:paraId="13B64547">
      <w:pPr>
        <w:pStyle w:val="14"/>
        <w:snapToGrid w:val="0"/>
        <w:ind w:firstLine="0"/>
        <w:rPr>
          <w:snapToGrid w:val="0"/>
          <w:color w:val="auto"/>
        </w:rPr>
      </w:pPr>
      <w:r>
        <w:rPr>
          <w:rFonts w:hint="eastAsia" w:ascii="方正仿宋_GBK" w:hAnsi="方正仿宋_GBK" w:eastAsia="方正仿宋_GBK" w:cs="仿宋"/>
          <w:snapToGrid w:val="0"/>
          <w:color w:val="auto"/>
          <w:kern w:val="0"/>
          <w:lang w:eastAsia="zh-CN"/>
        </w:rPr>
        <w:t>2.</w:t>
      </w:r>
      <w:r>
        <w:rPr>
          <w:rFonts w:hint="eastAsia" w:ascii="方正仿宋_GBK" w:hAnsi="方正仿宋_GBK" w:eastAsia="方正仿宋_GBK" w:cs="仿宋"/>
          <w:snapToGrid w:val="0"/>
          <w:color w:val="auto"/>
          <w:kern w:val="0"/>
        </w:rPr>
        <w:t>意义</w:t>
      </w:r>
      <w:bookmarkEnd w:id="13"/>
    </w:p>
    <w:p w14:paraId="4AEDA7DE">
      <w:pPr>
        <w:snapToGrid w:val="0"/>
        <w:spacing w:line="560" w:lineRule="exact"/>
        <w:ind w:firstLine="640" w:firstLineChars="200"/>
        <w:rPr>
          <w:rFonts w:eastAsia="方正仿宋_GBK"/>
          <w:color w:val="auto"/>
          <w:sz w:val="32"/>
          <w:szCs w:val="28"/>
        </w:rPr>
      </w:pPr>
      <w:r>
        <w:rPr>
          <w:rFonts w:hint="eastAsia" w:ascii="方正仿宋_GBK" w:hAnsi="方正仿宋_GBK" w:eastAsia="方正仿宋_GBK" w:cs="仿宋"/>
          <w:snapToGrid w:val="0"/>
          <w:color w:val="auto"/>
          <w:kern w:val="0"/>
          <w:sz w:val="32"/>
          <w:szCs w:val="32"/>
          <w:lang w:eastAsia="zh-CN"/>
        </w:rPr>
        <w:t>一是</w:t>
      </w:r>
      <w:r>
        <w:rPr>
          <w:rFonts w:hint="eastAsia" w:eastAsia="方正仿宋_GBK"/>
          <w:color w:val="auto"/>
          <w:sz w:val="32"/>
          <w:szCs w:val="28"/>
        </w:rPr>
        <w:t>夯实养老服务体系基础</w:t>
      </w:r>
      <w:r>
        <w:rPr>
          <w:rFonts w:hint="eastAsia" w:ascii="方正仿宋_GBK" w:hAnsi="方正仿宋_GBK" w:eastAsia="方正仿宋_GBK" w:cs="仿宋"/>
          <w:snapToGrid w:val="0"/>
          <w:color w:val="auto"/>
          <w:kern w:val="0"/>
          <w:sz w:val="32"/>
          <w:szCs w:val="32"/>
        </w:rPr>
        <w:t>。</w:t>
      </w:r>
      <w:r>
        <w:rPr>
          <w:rFonts w:hint="eastAsia" w:eastAsia="方正仿宋_GBK"/>
          <w:color w:val="auto"/>
          <w:sz w:val="32"/>
          <w:szCs w:val="28"/>
        </w:rPr>
        <w:t>响应《“十四五”国家老龄事业发展和养老服务体系规划》中“推进养老服务标准化建设”的要求，明确养老顾问的职能定位和服务边界。通过统一服务人员素质和能力、服务内容、服务流程、服务评价与改进，终结“养老顾问即信息登记员”的低水平现状。此外，通过老年人需求与服务资源之间的精准匹配，</w:t>
      </w:r>
      <w:r>
        <w:rPr>
          <w:rFonts w:hint="eastAsia" w:eastAsia="方正仿宋_GBK"/>
          <w:color w:val="auto"/>
          <w:sz w:val="32"/>
          <w:szCs w:val="28"/>
          <w:lang w:eastAsia="zh-CN"/>
        </w:rPr>
        <w:t>最大限度满足</w:t>
      </w:r>
      <w:r>
        <w:rPr>
          <w:rFonts w:hint="eastAsia" w:eastAsia="方正仿宋_GBK"/>
          <w:color w:val="auto"/>
          <w:sz w:val="32"/>
          <w:szCs w:val="28"/>
        </w:rPr>
        <w:t>老年人个性化养老服务需求，进一步提升老年人的获得感、幸福感、安全感。</w:t>
      </w:r>
    </w:p>
    <w:p w14:paraId="6DFB9377">
      <w:pPr>
        <w:snapToGrid w:val="0"/>
        <w:spacing w:line="560" w:lineRule="exact"/>
        <w:ind w:firstLine="640" w:firstLineChars="200"/>
        <w:rPr>
          <w:snapToGrid w:val="0"/>
          <w:color w:val="auto"/>
          <w:kern w:val="0"/>
        </w:rPr>
      </w:pPr>
      <w:r>
        <w:rPr>
          <w:rFonts w:hint="eastAsia" w:ascii="方正仿宋_GBK" w:hAnsi="方正仿宋_GBK" w:eastAsia="方正仿宋_GBK" w:cs="仿宋"/>
          <w:snapToGrid w:val="0"/>
          <w:color w:val="auto"/>
          <w:kern w:val="0"/>
          <w:sz w:val="32"/>
          <w:szCs w:val="32"/>
          <w:lang w:eastAsia="zh-CN"/>
        </w:rPr>
        <w:t>二是</w:t>
      </w:r>
      <w:r>
        <w:rPr>
          <w:rFonts w:hint="eastAsia" w:eastAsia="方正仿宋_GBK"/>
          <w:color w:val="auto"/>
          <w:sz w:val="32"/>
          <w:szCs w:val="28"/>
        </w:rPr>
        <w:t>推动养老服务高质量发展</w:t>
      </w:r>
      <w:r>
        <w:rPr>
          <w:rFonts w:hint="eastAsia" w:ascii="方正仿宋_GBK" w:hAnsi="方正仿宋_GBK" w:eastAsia="方正仿宋_GBK" w:cs="仿宋"/>
          <w:snapToGrid w:val="0"/>
          <w:color w:val="auto"/>
          <w:kern w:val="0"/>
          <w:sz w:val="32"/>
          <w:szCs w:val="32"/>
        </w:rPr>
        <w:t>。统一的服务标准和流程可以增强服务的专业性和可及性，</w:t>
      </w:r>
      <w:r>
        <w:rPr>
          <w:rFonts w:hint="eastAsia" w:eastAsia="方正仿宋_GBK"/>
          <w:color w:val="auto"/>
          <w:sz w:val="32"/>
          <w:szCs w:val="28"/>
        </w:rPr>
        <w:t>提升服务人员专业化水平，</w:t>
      </w:r>
      <w:r>
        <w:rPr>
          <w:rFonts w:hint="eastAsia" w:ascii="方正仿宋_GBK" w:hAnsi="方正仿宋_GBK" w:eastAsia="方正仿宋_GBK" w:cs="仿宋"/>
          <w:snapToGrid w:val="0"/>
          <w:color w:val="auto"/>
          <w:kern w:val="0"/>
          <w:sz w:val="32"/>
          <w:szCs w:val="32"/>
        </w:rPr>
        <w:t>确保老年人群体获得高质量的服务体验。同时，养老顾问作为“资源协调者”，在统一标准的指导下，能够更有效地整合医疗、家政、康复、文娱等跨领域服务资源，根据老年人的个性化需求提供定制化的服务方案</w:t>
      </w:r>
      <w:r>
        <w:rPr>
          <w:rFonts w:hint="eastAsia" w:ascii="方正仿宋_GBK" w:hAnsi="方正仿宋_GBK" w:eastAsia="方正仿宋_GBK" w:cs="仿宋"/>
          <w:snapToGrid w:val="0"/>
          <w:color w:val="auto"/>
          <w:kern w:val="0"/>
          <w:sz w:val="32"/>
          <w:szCs w:val="32"/>
          <w:lang w:val="en-US" w:eastAsia="zh-CN"/>
        </w:rPr>
        <w:t>，</w:t>
      </w:r>
      <w:r>
        <w:rPr>
          <w:rFonts w:hint="eastAsia" w:ascii="方正仿宋_GBK" w:hAnsi="方正仿宋_GBK" w:eastAsia="方正仿宋_GBK" w:cs="仿宋"/>
          <w:snapToGrid w:val="0"/>
          <w:color w:val="auto"/>
          <w:kern w:val="0"/>
          <w:sz w:val="32"/>
          <w:szCs w:val="32"/>
        </w:rPr>
        <w:t>有助于</w:t>
      </w:r>
      <w:r>
        <w:rPr>
          <w:rFonts w:hint="eastAsia" w:eastAsia="方正仿宋_GBK"/>
          <w:color w:val="auto"/>
          <w:sz w:val="32"/>
          <w:szCs w:val="28"/>
          <w:lang w:val="en-US" w:eastAsia="zh-CN"/>
        </w:rPr>
        <w:t>进一步</w:t>
      </w:r>
      <w:r>
        <w:rPr>
          <w:rFonts w:hint="eastAsia" w:eastAsia="方正仿宋_GBK"/>
          <w:color w:val="auto"/>
          <w:sz w:val="32"/>
          <w:szCs w:val="28"/>
        </w:rPr>
        <w:t>提升养老服务的质量和效率，推动养老服务事业和产业持续健康协同发展。</w:t>
      </w:r>
    </w:p>
    <w:p w14:paraId="6BDF53C2">
      <w:pPr>
        <w:snapToGrid w:val="0"/>
        <w:spacing w:line="560" w:lineRule="exact"/>
        <w:ind w:firstLine="640" w:firstLineChars="200"/>
        <w:rPr>
          <w:rFonts w:ascii="方正仿宋_GBK" w:hAnsi="方正仿宋_GBK" w:eastAsia="方正仿宋_GBK" w:cs="仿宋"/>
          <w:snapToGrid w:val="0"/>
          <w:color w:val="auto"/>
          <w:kern w:val="0"/>
          <w:sz w:val="32"/>
          <w:szCs w:val="32"/>
        </w:rPr>
      </w:pPr>
      <w:r>
        <w:rPr>
          <w:rFonts w:hint="eastAsia" w:ascii="方正仿宋_GBK" w:hAnsi="方正仿宋_GBK" w:eastAsia="方正仿宋_GBK" w:cs="仿宋"/>
          <w:snapToGrid w:val="0"/>
          <w:color w:val="auto"/>
          <w:kern w:val="0"/>
          <w:sz w:val="32"/>
          <w:szCs w:val="32"/>
          <w:lang w:eastAsia="zh-CN"/>
        </w:rPr>
        <w:t>三是</w:t>
      </w:r>
      <w:r>
        <w:rPr>
          <w:rFonts w:hint="eastAsia" w:ascii="方正仿宋_GBK" w:hAnsi="方正仿宋_GBK" w:eastAsia="方正仿宋_GBK" w:cs="方正仿宋_GBK"/>
          <w:bCs/>
          <w:color w:val="auto"/>
          <w:sz w:val="32"/>
          <w:szCs w:val="32"/>
        </w:rPr>
        <w:t>促进社会和谐</w:t>
      </w:r>
      <w:r>
        <w:rPr>
          <w:rFonts w:hint="eastAsia" w:ascii="方正仿宋_GBK" w:hAnsi="方正仿宋_GBK" w:eastAsia="方正仿宋_GBK" w:cs="仿宋"/>
          <w:snapToGrid w:val="0"/>
          <w:color w:val="auto"/>
          <w:kern w:val="0"/>
          <w:sz w:val="32"/>
          <w:szCs w:val="32"/>
        </w:rPr>
        <w:t>。习近平总书记强调：“人民对美好生活的向往，就是我们的奋斗目标。”开展养老顾问服务的标准化建设，有助于将宏观政策转化为具体可操作的标准，确保政策在全国范围内有效落地，体现了党和政府对老年人群体的关怀，落实了以人民为中心的发展思想，有益于社会的和谐与稳定。</w:t>
      </w:r>
    </w:p>
    <w:bookmarkEnd w:id="10"/>
    <w:bookmarkEnd w:id="12"/>
    <w:p w14:paraId="78866C2B">
      <w:pPr>
        <w:pStyle w:val="14"/>
        <w:snapToGrid w:val="0"/>
        <w:ind w:firstLine="0"/>
        <w:rPr>
          <w:rFonts w:ascii="方正楷体_GBK" w:hAnsi="方正楷体_GBK" w:cs="方正楷体_GBK"/>
          <w:snapToGrid w:val="0"/>
          <w:color w:val="auto"/>
          <w:kern w:val="0"/>
        </w:rPr>
      </w:pPr>
      <w:bookmarkStart w:id="14" w:name="_Toc26822"/>
      <w:bookmarkStart w:id="15" w:name="_Toc22949"/>
      <w:bookmarkStart w:id="16" w:name="_Toc89083373"/>
      <w:r>
        <w:rPr>
          <w:rFonts w:hint="eastAsia" w:ascii="方正楷体_GBK" w:hAnsi="方正楷体_GBK" w:cs="方正楷体_GBK"/>
          <w:snapToGrid w:val="0"/>
          <w:color w:val="auto"/>
          <w:kern w:val="0"/>
        </w:rPr>
        <w:t>（三）起草过程</w:t>
      </w:r>
    </w:p>
    <w:p w14:paraId="159D3DE8">
      <w:pPr>
        <w:snapToGrid w:val="0"/>
        <w:spacing w:line="560" w:lineRule="exact"/>
        <w:ind w:firstLine="640" w:firstLineChars="200"/>
        <w:rPr>
          <w:rFonts w:ascii="方正仿宋_GBK" w:hAnsi="方正仿宋_GBK" w:eastAsia="方正仿宋_GBK" w:cs="方正仿宋_GBK"/>
          <w:snapToGrid w:val="0"/>
          <w:color w:val="auto"/>
          <w:kern w:val="0"/>
          <w:sz w:val="32"/>
          <w:szCs w:val="28"/>
        </w:rPr>
      </w:pPr>
      <w:r>
        <w:rPr>
          <w:rFonts w:hint="eastAsia" w:ascii="方正仿宋_GBK" w:hAnsi="方正仿宋_GBK" w:eastAsia="方正仿宋_GBK" w:cs="方正仿宋_GBK"/>
          <w:snapToGrid w:val="0"/>
          <w:color w:val="auto"/>
          <w:kern w:val="0"/>
          <w:sz w:val="32"/>
          <w:szCs w:val="28"/>
        </w:rPr>
        <w:t>《养老顾问服务指南》行业标准</w:t>
      </w:r>
      <w:r>
        <w:rPr>
          <w:rFonts w:hint="eastAsia" w:eastAsia="方正仿宋_GBK"/>
          <w:snapToGrid w:val="0"/>
          <w:color w:val="auto"/>
          <w:kern w:val="0"/>
          <w:sz w:val="32"/>
          <w:szCs w:val="28"/>
        </w:rPr>
        <w:t>编制需经历标准预研、项目申报、标准</w:t>
      </w:r>
      <w:r>
        <w:rPr>
          <w:rFonts w:eastAsia="方正仿宋_GBK"/>
          <w:snapToGrid w:val="0"/>
          <w:color w:val="auto"/>
          <w:kern w:val="0"/>
          <w:sz w:val="32"/>
          <w:szCs w:val="28"/>
        </w:rPr>
        <w:t>起草、</w:t>
      </w:r>
      <w:r>
        <w:rPr>
          <w:rFonts w:hint="eastAsia" w:eastAsia="方正仿宋_GBK"/>
          <w:snapToGrid w:val="0"/>
          <w:color w:val="auto"/>
          <w:kern w:val="0"/>
          <w:sz w:val="32"/>
          <w:szCs w:val="28"/>
        </w:rPr>
        <w:t>征求意见、技术审查、报批审查等阶段，目前本</w:t>
      </w:r>
      <w:r>
        <w:rPr>
          <w:rFonts w:eastAsia="方正仿宋_GBK"/>
          <w:snapToGrid w:val="0"/>
          <w:color w:val="auto"/>
          <w:kern w:val="0"/>
          <w:sz w:val="32"/>
          <w:szCs w:val="28"/>
        </w:rPr>
        <w:t>标准</w:t>
      </w:r>
      <w:r>
        <w:rPr>
          <w:rFonts w:hint="eastAsia" w:eastAsia="方正仿宋_GBK"/>
          <w:snapToGrid w:val="0"/>
          <w:color w:val="auto"/>
          <w:kern w:val="0"/>
          <w:sz w:val="32"/>
          <w:szCs w:val="28"/>
        </w:rPr>
        <w:t>已完成标准预研、</w:t>
      </w:r>
      <w:r>
        <w:rPr>
          <w:rFonts w:hint="default" w:eastAsia="方正仿宋_GBK"/>
          <w:snapToGrid w:val="0"/>
          <w:color w:val="auto"/>
          <w:kern w:val="0"/>
          <w:sz w:val="32"/>
          <w:szCs w:val="28"/>
          <w:lang w:val="en-US"/>
        </w:rPr>
        <w:t>项目申报</w:t>
      </w:r>
      <w:r>
        <w:rPr>
          <w:rFonts w:hint="eastAsia" w:eastAsia="方正仿宋_GBK"/>
          <w:snapToGrid w:val="0"/>
          <w:color w:val="auto"/>
          <w:kern w:val="0"/>
          <w:sz w:val="32"/>
          <w:szCs w:val="28"/>
          <w:lang w:eastAsia="zh-CN"/>
        </w:rPr>
        <w:t>、标准起草阶段</w:t>
      </w:r>
      <w:r>
        <w:rPr>
          <w:rFonts w:hint="eastAsia" w:eastAsia="方正仿宋_GBK"/>
          <w:snapToGrid w:val="0"/>
          <w:color w:val="auto"/>
          <w:kern w:val="0"/>
          <w:sz w:val="32"/>
          <w:szCs w:val="28"/>
        </w:rPr>
        <w:t>。</w:t>
      </w:r>
    </w:p>
    <w:p w14:paraId="03826459">
      <w:pPr>
        <w:pStyle w:val="14"/>
        <w:snapToGrid w:val="0"/>
        <w:ind w:firstLine="0"/>
        <w:rPr>
          <w:rFonts w:ascii="方正仿宋_GBK" w:hAnsi="方正仿宋_GBK" w:eastAsia="方正仿宋_GBK" w:cs="仿宋"/>
          <w:snapToGrid w:val="0"/>
          <w:color w:val="auto"/>
          <w:kern w:val="0"/>
        </w:rPr>
      </w:pPr>
      <w:bookmarkStart w:id="17" w:name="_Toc167721048"/>
      <w:r>
        <w:rPr>
          <w:rFonts w:hint="eastAsia" w:ascii="方正仿宋_GBK" w:hAnsi="方正仿宋_GBK" w:eastAsia="方正仿宋_GBK" w:cs="仿宋"/>
          <w:snapToGrid w:val="0"/>
          <w:color w:val="auto"/>
          <w:kern w:val="0"/>
        </w:rPr>
        <w:t>1.标准预研</w:t>
      </w:r>
      <w:bookmarkEnd w:id="17"/>
    </w:p>
    <w:p w14:paraId="2D531099">
      <w:pPr>
        <w:snapToGrid w:val="0"/>
        <w:spacing w:line="560" w:lineRule="exact"/>
        <w:ind w:firstLine="640" w:firstLineChars="200"/>
        <w:rPr>
          <w:rFonts w:hint="eastAsia" w:ascii="方正仿宋_GBK" w:hAnsi="方正仿宋_GBK" w:eastAsia="方正仿宋_GBK" w:cs="仿宋"/>
          <w:snapToGrid w:val="0"/>
          <w:color w:val="auto"/>
          <w:kern w:val="0"/>
          <w:sz w:val="32"/>
          <w:szCs w:val="32"/>
        </w:rPr>
      </w:pPr>
      <w:r>
        <w:rPr>
          <w:rFonts w:hint="eastAsia" w:ascii="方正仿宋_GBK" w:hAnsi="方正仿宋_GBK" w:eastAsia="方正仿宋_GBK" w:cs="仿宋"/>
          <w:snapToGrid w:val="0"/>
          <w:color w:val="auto"/>
          <w:kern w:val="0"/>
          <w:sz w:val="32"/>
          <w:szCs w:val="32"/>
        </w:rPr>
        <w:t>成立由绍兴市民政局、民政部社会福利中心</w:t>
      </w:r>
      <w:r>
        <w:rPr>
          <w:rFonts w:hint="eastAsia" w:ascii="方正仿宋_GBK" w:hAnsi="方正仿宋_GBK" w:eastAsia="方正仿宋_GBK" w:cs="仿宋"/>
          <w:snapToGrid w:val="0"/>
          <w:color w:val="auto"/>
          <w:kern w:val="0"/>
          <w:sz w:val="32"/>
          <w:szCs w:val="32"/>
          <w:lang w:eastAsia="zh-CN"/>
        </w:rPr>
        <w:t>、</w:t>
      </w:r>
      <w:r>
        <w:rPr>
          <w:rFonts w:hint="eastAsia" w:ascii="方正仿宋_GBK" w:hAnsi="方正仿宋_GBK" w:eastAsia="方正仿宋_GBK" w:cs="仿宋"/>
          <w:snapToGrid w:val="0"/>
          <w:color w:val="auto"/>
          <w:kern w:val="0"/>
          <w:sz w:val="32"/>
          <w:szCs w:val="32"/>
        </w:rPr>
        <w:t>绍兴市福利彩票发行中心等单位组成的标准起草组，并明确标准编制各时间节点任务情况。综合运用书面调研、实地调研、座谈交流等方式，</w:t>
      </w:r>
      <w:r>
        <w:rPr>
          <w:rFonts w:hint="eastAsia" w:ascii="方正仿宋_GBK" w:hAnsi="方正仿宋_GBK" w:eastAsia="方正仿宋_GBK" w:cs="方正仿宋_GBK"/>
          <w:snapToGrid w:val="0"/>
          <w:color w:val="auto"/>
          <w:kern w:val="0"/>
          <w:sz w:val="32"/>
          <w:szCs w:val="28"/>
        </w:rPr>
        <w:t>结合养老顾问服务实际，形成标准初步框架</w:t>
      </w:r>
      <w:r>
        <w:rPr>
          <w:rFonts w:hint="eastAsia" w:ascii="方正仿宋_GBK" w:hAnsi="方正仿宋_GBK" w:eastAsia="方正仿宋_GBK" w:cs="仿宋"/>
          <w:snapToGrid w:val="0"/>
          <w:color w:val="auto"/>
          <w:kern w:val="0"/>
          <w:sz w:val="32"/>
          <w:szCs w:val="32"/>
        </w:rPr>
        <w:t>。</w:t>
      </w:r>
    </w:p>
    <w:p w14:paraId="402B5DBF">
      <w:pPr>
        <w:pStyle w:val="14"/>
        <w:snapToGrid w:val="0"/>
        <w:ind w:firstLine="0"/>
        <w:rPr>
          <w:rFonts w:hint="eastAsia" w:ascii="方正仿宋_GBK" w:hAnsi="方正仿宋_GBK" w:eastAsia="方正仿宋_GBK" w:cs="方正仿宋_GBK"/>
          <w:snapToGrid w:val="0"/>
          <w:color w:val="auto"/>
          <w:kern w:val="0"/>
          <w:szCs w:val="28"/>
          <w:lang w:val="en-US" w:eastAsia="zh-CN"/>
        </w:rPr>
      </w:pPr>
      <w:bookmarkStart w:id="18" w:name="_Toc167721049"/>
      <w:r>
        <w:rPr>
          <w:rFonts w:hint="eastAsia" w:ascii="方正仿宋_GBK" w:hAnsi="方正仿宋_GBK" w:eastAsia="方正仿宋_GBK" w:cs="仿宋"/>
          <w:snapToGrid w:val="0"/>
          <w:color w:val="auto"/>
          <w:kern w:val="0"/>
        </w:rPr>
        <w:t>2.项目申报</w:t>
      </w:r>
      <w:bookmarkEnd w:id="18"/>
    </w:p>
    <w:p w14:paraId="5B81A69D">
      <w:pPr>
        <w:pStyle w:val="14"/>
        <w:snapToGrid w:val="0"/>
        <w:ind w:firstLine="0"/>
        <w:rPr>
          <w:rFonts w:hint="eastAsia" w:ascii="方正仿宋_GBK" w:hAnsi="方正仿宋_GBK" w:eastAsia="方正仿宋_GBK" w:cs="方正仿宋_GBK"/>
          <w:snapToGrid w:val="0"/>
          <w:color w:val="auto"/>
          <w:kern w:val="0"/>
          <w:szCs w:val="28"/>
        </w:rPr>
      </w:pPr>
      <w:bookmarkStart w:id="19" w:name="_Toc167721052"/>
      <w:r>
        <w:rPr>
          <w:rFonts w:hint="eastAsia" w:ascii="方正仿宋_GBK" w:hAnsi="方正仿宋_GBK" w:eastAsia="方正仿宋_GBK" w:cs="方正仿宋_GBK"/>
          <w:snapToGrid w:val="0"/>
          <w:color w:val="auto"/>
          <w:kern w:val="0"/>
          <w:szCs w:val="28"/>
        </w:rPr>
        <w:t>2025年2月至3月，按照《民政部办公厅关于组织申报2025年度民政标准立项的通知》文件要求，标准起草组认真撰写标准申报材料，包括标准立项建议书、标准草案及编制说明，并向民政部提出标准立项申请。</w:t>
      </w:r>
      <w:bookmarkEnd w:id="19"/>
    </w:p>
    <w:p w14:paraId="7C94E223">
      <w:pPr>
        <w:pStyle w:val="14"/>
        <w:snapToGrid w:val="0"/>
        <w:ind w:firstLine="0"/>
        <w:rPr>
          <w:rFonts w:hint="eastAsia" w:ascii="方正仿宋_GBK" w:hAnsi="方正仿宋_GBK" w:eastAsia="方正仿宋_GBK" w:cs="方正仿宋_GBK"/>
          <w:snapToGrid w:val="0"/>
          <w:color w:val="auto"/>
          <w:kern w:val="0"/>
          <w:szCs w:val="28"/>
          <w:lang w:val="en-US" w:eastAsia="zh-CN"/>
        </w:rPr>
      </w:pPr>
      <w:r>
        <w:rPr>
          <w:rFonts w:hint="eastAsia" w:ascii="方正仿宋_GBK" w:hAnsi="方正仿宋_GBK" w:eastAsia="方正仿宋_GBK" w:cs="方正仿宋_GBK"/>
          <w:snapToGrid w:val="0"/>
          <w:color w:val="auto"/>
          <w:kern w:val="0"/>
          <w:szCs w:val="28"/>
          <w:lang w:val="en-US" w:eastAsia="zh-CN"/>
        </w:rPr>
        <w:t>2025年7月，标准起草组参加民政部在北京组织召开的标准立项评审会。</w:t>
      </w:r>
    </w:p>
    <w:p w14:paraId="1ED30B66">
      <w:pPr>
        <w:pStyle w:val="14"/>
        <w:snapToGrid w:val="0"/>
        <w:ind w:firstLine="0"/>
        <w:rPr>
          <w:rFonts w:hint="eastAsia" w:ascii="方正仿宋_GBK" w:hAnsi="方正仿宋_GBK" w:eastAsia="方正仿宋_GBK" w:cs="仿宋"/>
          <w:snapToGrid w:val="0"/>
          <w:color w:val="auto"/>
          <w:kern w:val="0"/>
        </w:rPr>
      </w:pPr>
      <w:r>
        <w:rPr>
          <w:rFonts w:hint="eastAsia" w:ascii="方正仿宋_GBK" w:hAnsi="方正仿宋_GBK" w:eastAsia="方正仿宋_GBK" w:cs="仿宋"/>
          <w:snapToGrid w:val="0"/>
          <w:color w:val="auto"/>
          <w:kern w:val="0"/>
        </w:rPr>
        <w:t>2025年</w:t>
      </w:r>
      <w:r>
        <w:rPr>
          <w:rFonts w:hint="eastAsia" w:ascii="方正仿宋_GBK" w:hAnsi="方正仿宋_GBK" w:eastAsia="方正仿宋_GBK" w:cs="仿宋"/>
          <w:snapToGrid w:val="0"/>
          <w:color w:val="auto"/>
          <w:kern w:val="0"/>
          <w:lang w:val="en-US" w:eastAsia="zh-CN"/>
        </w:rPr>
        <w:t>8</w:t>
      </w:r>
      <w:r>
        <w:rPr>
          <w:rFonts w:hint="eastAsia" w:ascii="方正仿宋_GBK" w:hAnsi="方正仿宋_GBK" w:eastAsia="方正仿宋_GBK" w:cs="仿宋"/>
          <w:snapToGrid w:val="0"/>
          <w:color w:val="auto"/>
          <w:kern w:val="0"/>
        </w:rPr>
        <w:t>月，民政部办公厅</w:t>
      </w:r>
      <w:r>
        <w:rPr>
          <w:rFonts w:hint="eastAsia" w:ascii="方正仿宋_GBK" w:hAnsi="方正仿宋_GBK" w:eastAsia="方正仿宋_GBK" w:cs="仿宋"/>
          <w:snapToGrid w:val="0"/>
          <w:color w:val="auto"/>
          <w:kern w:val="0"/>
          <w:lang w:val="en-US" w:eastAsia="zh-CN"/>
        </w:rPr>
        <w:t>印发《2025年民政部标准制定计划》</w:t>
      </w:r>
      <w:r>
        <w:rPr>
          <w:rFonts w:hint="eastAsia" w:ascii="方正仿宋_GBK" w:hAnsi="方正仿宋_GBK" w:eastAsia="方正仿宋_GBK" w:cs="仿宋"/>
          <w:snapToGrid w:val="0"/>
          <w:color w:val="auto"/>
          <w:kern w:val="0"/>
          <w:lang w:eastAsia="zh-CN"/>
        </w:rPr>
        <w:t>，</w:t>
      </w:r>
      <w:r>
        <w:rPr>
          <w:rFonts w:hint="eastAsia" w:ascii="方正仿宋_GBK" w:hAnsi="方正仿宋_GBK" w:eastAsia="方正仿宋_GBK" w:cs="仿宋"/>
          <w:snapToGrid w:val="0"/>
          <w:color w:val="auto"/>
          <w:kern w:val="0"/>
          <w:lang w:val="en-US" w:eastAsia="zh-CN"/>
        </w:rPr>
        <w:t>行业标准《养老顾问服务指南》立项，项目号为MZ2025-T-014</w:t>
      </w:r>
      <w:r>
        <w:rPr>
          <w:rFonts w:hint="eastAsia" w:ascii="方正仿宋_GBK" w:hAnsi="方正仿宋_GBK" w:eastAsia="方正仿宋_GBK" w:cs="仿宋"/>
          <w:snapToGrid w:val="0"/>
          <w:color w:val="auto"/>
          <w:kern w:val="0"/>
        </w:rPr>
        <w:t>。</w:t>
      </w:r>
    </w:p>
    <w:p w14:paraId="126759CD">
      <w:pPr>
        <w:pStyle w:val="14"/>
        <w:snapToGrid w:val="0"/>
        <w:ind w:firstLine="0"/>
        <w:rPr>
          <w:rFonts w:hint="eastAsia" w:ascii="方正仿宋_GBK" w:hAnsi="方正仿宋_GBK" w:eastAsia="方正仿宋_GBK" w:cs="仿宋"/>
          <w:snapToGrid w:val="0"/>
          <w:color w:val="auto"/>
          <w:kern w:val="0"/>
          <w:lang w:val="en-US" w:eastAsia="zh-CN"/>
        </w:rPr>
      </w:pPr>
      <w:r>
        <w:rPr>
          <w:rFonts w:hint="eastAsia" w:ascii="方正仿宋_GBK" w:hAnsi="方正仿宋_GBK" w:eastAsia="方正仿宋_GBK" w:cs="仿宋"/>
          <w:snapToGrid w:val="0"/>
          <w:color w:val="auto"/>
          <w:kern w:val="0"/>
          <w:lang w:val="en-US" w:eastAsia="zh-CN"/>
        </w:rPr>
        <w:t>3.标准起草</w:t>
      </w:r>
    </w:p>
    <w:p w14:paraId="61BC8E36">
      <w:pPr>
        <w:pStyle w:val="1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方正仿宋_GBK" w:hAnsi="方正仿宋_GBK" w:eastAsia="方正仿宋_GBK" w:cs="方正仿宋_GBK"/>
          <w:snapToGrid w:val="0"/>
          <w:color w:val="auto"/>
          <w:kern w:val="0"/>
          <w:lang w:val="en-US" w:eastAsia="zh-CN"/>
        </w:rPr>
      </w:pPr>
      <w:r>
        <w:rPr>
          <w:rFonts w:hint="eastAsia" w:ascii="方正仿宋_GBK" w:hAnsi="方正仿宋_GBK" w:eastAsia="方正仿宋_GBK" w:cs="方正仿宋_GBK"/>
          <w:snapToGrid w:val="0"/>
          <w:color w:val="auto"/>
          <w:kern w:val="0"/>
          <w:lang w:val="en-US" w:eastAsia="zh-CN"/>
        </w:rPr>
        <w:t>2025年9月至10月，标准起草组开展文献调研，起草调研工作计划，选取东、中、西部具有代表性的省市开展实地调研和座谈交流，修改完善标准工作组讨论稿。</w:t>
      </w:r>
    </w:p>
    <w:p w14:paraId="12E4F9A4">
      <w:pPr>
        <w:pStyle w:val="1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方正仿宋_GBK" w:hAnsi="方正仿宋_GBK" w:eastAsia="方正仿宋_GBK" w:cs="方正仿宋_GBK"/>
          <w:color w:val="auto"/>
          <w:highlight w:val="none"/>
          <w:lang w:val="en-US" w:eastAsia="zh-CN"/>
        </w:rPr>
      </w:pPr>
      <w:r>
        <w:rPr>
          <w:rFonts w:hint="eastAsia" w:ascii="方正仿宋_GBK" w:hAnsi="方正仿宋_GBK" w:eastAsia="方正仿宋_GBK" w:cs="方正仿宋_GBK"/>
          <w:snapToGrid w:val="0"/>
          <w:color w:val="auto"/>
          <w:kern w:val="0"/>
          <w:lang w:val="en-US" w:eastAsia="zh-CN"/>
        </w:rPr>
        <w:t>2025年</w:t>
      </w:r>
      <w:r>
        <w:rPr>
          <w:rFonts w:hint="eastAsia" w:ascii="方正仿宋_GBK" w:hAnsi="方正仿宋_GBK" w:eastAsia="方正仿宋_GBK" w:cs="方正仿宋_GBK"/>
          <w:color w:val="auto"/>
          <w:highlight w:val="none"/>
          <w:lang w:val="en-US" w:eastAsia="zh-CN"/>
        </w:rPr>
        <w:t>12月，标准起草组赴绍兴市等地调研座谈，深入了解唯康居家养老中心、美好之城·大爱天下颐园国际颐养社区、悦里·鉴园等服务机构的养老服务开展情况和标准化工作情况。组织召开座谈会，听取市县民政部门和公办、民办、街道、国企改革等不同类型养老服务机构代表的意见。根据有关意见建议，修改完善标准内容，形成标准征求意见稿一稿。随后标准起草组赴广州市开展实地调研并召开标准讨论会，按照意见建议</w:t>
      </w:r>
      <w:r>
        <w:rPr>
          <w:rFonts w:hint="eastAsia" w:ascii="Times New Roman" w:eastAsia="方正仿宋_GBK"/>
          <w:color w:val="auto"/>
          <w:highlight w:val="none"/>
          <w:lang w:eastAsia="zh-CN"/>
        </w:rPr>
        <w:t>，</w:t>
      </w:r>
      <w:r>
        <w:rPr>
          <w:rFonts w:hint="eastAsia" w:ascii="Times New Roman" w:eastAsia="方正仿宋_GBK"/>
          <w:color w:val="auto"/>
          <w:highlight w:val="none"/>
        </w:rPr>
        <w:t>修改形成标准征求意见稿</w:t>
      </w:r>
      <w:r>
        <w:rPr>
          <w:rFonts w:hint="eastAsia" w:ascii="Times New Roman" w:eastAsia="方正仿宋_GBK"/>
          <w:color w:val="auto"/>
          <w:highlight w:val="none"/>
          <w:lang w:eastAsia="zh-CN"/>
        </w:rPr>
        <w:t>二</w:t>
      </w:r>
      <w:r>
        <w:rPr>
          <w:rFonts w:hint="eastAsia" w:ascii="Times New Roman" w:eastAsia="方正仿宋_GBK"/>
          <w:color w:val="auto"/>
          <w:highlight w:val="none"/>
        </w:rPr>
        <w:t>稿</w:t>
      </w:r>
      <w:r>
        <w:rPr>
          <w:rFonts w:hint="eastAsia" w:ascii="方正仿宋_GBK" w:hAnsi="方正仿宋_GBK" w:eastAsia="方正仿宋_GBK" w:cs="方正仿宋_GBK"/>
          <w:color w:val="auto"/>
          <w:highlight w:val="none"/>
          <w:lang w:val="en-US" w:eastAsia="zh-CN"/>
        </w:rPr>
        <w:t>。</w:t>
      </w:r>
    </w:p>
    <w:p w14:paraId="5AD6FC70">
      <w:pPr>
        <w:pStyle w:val="1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方正仿宋_GBK" w:hAnsi="方正仿宋_GBK" w:eastAsia="方正仿宋_GBK" w:cs="方正仿宋_GBK"/>
          <w:color w:val="auto"/>
          <w:highlight w:val="none"/>
          <w:lang w:val="en-US" w:eastAsia="zh-CN"/>
        </w:rPr>
      </w:pPr>
      <w:r>
        <w:rPr>
          <w:rFonts w:hint="eastAsia" w:ascii="方正仿宋_GBK" w:hAnsi="方正仿宋_GBK" w:eastAsia="方正仿宋_GBK" w:cs="方正仿宋_GBK"/>
          <w:color w:val="auto"/>
          <w:highlight w:val="none"/>
          <w:lang w:val="en-US" w:eastAsia="zh-CN"/>
        </w:rPr>
        <w:t>2026年1月至今，标准起草组</w:t>
      </w:r>
      <w:r>
        <w:rPr>
          <w:rFonts w:hint="eastAsia" w:ascii="方正仿宋_GBK" w:hAnsi="方正仿宋_GBK" w:eastAsia="方正仿宋_GBK" w:cs="方正仿宋_GBK"/>
          <w:color w:val="auto"/>
          <w:lang w:eastAsia="zh-CN"/>
        </w:rPr>
        <w:t>分别向</w:t>
      </w:r>
      <w:r>
        <w:rPr>
          <w:rFonts w:hint="eastAsia" w:ascii="方正仿宋_GBK" w:hAnsi="方正仿宋_GBK" w:eastAsia="方正仿宋_GBK" w:cs="方正仿宋_GBK"/>
          <w:color w:val="auto"/>
          <w:lang w:val="en-US" w:eastAsia="zh-CN"/>
        </w:rPr>
        <w:t>东、中、西</w:t>
      </w:r>
      <w:r>
        <w:rPr>
          <w:rFonts w:hint="eastAsia" w:ascii="方正仿宋_GBK" w:hAnsi="方正仿宋_GBK" w:eastAsia="方正仿宋_GBK" w:cs="方正仿宋_GBK"/>
          <w:snapToGrid w:val="0"/>
          <w:color w:val="auto"/>
          <w:kern w:val="0"/>
          <w:lang w:val="en-US" w:eastAsia="zh-CN"/>
        </w:rPr>
        <w:t>部</w:t>
      </w:r>
      <w:r>
        <w:rPr>
          <w:rFonts w:hint="eastAsia" w:ascii="方正仿宋_GBK" w:hAnsi="方正仿宋_GBK" w:eastAsia="方正仿宋_GBK" w:cs="方正仿宋_GBK"/>
          <w:color w:val="auto"/>
          <w:lang w:val="en-US" w:eastAsia="zh-CN"/>
        </w:rPr>
        <w:t>具有代表性省份的民政部门、养老机构、居家社区养老服务机构等</w:t>
      </w:r>
      <w:r>
        <w:rPr>
          <w:rFonts w:hint="eastAsia" w:ascii="方正仿宋_GBK" w:hAnsi="方正仿宋_GBK" w:eastAsia="方正仿宋_GBK" w:cs="方正仿宋_GBK"/>
          <w:color w:val="auto"/>
          <w:lang w:eastAsia="zh-CN"/>
        </w:rPr>
        <w:t>发放调查问卷，</w:t>
      </w:r>
      <w:r>
        <w:rPr>
          <w:rFonts w:hint="eastAsia" w:ascii="方正仿宋_GBK" w:hAnsi="方正仿宋_GBK" w:eastAsia="方正仿宋_GBK" w:cs="方正仿宋_GBK"/>
          <w:color w:val="auto"/>
        </w:rPr>
        <w:t>共回收有效问卷</w:t>
      </w:r>
      <w:r>
        <w:rPr>
          <w:rFonts w:hint="eastAsia" w:ascii="方正仿宋_GBK" w:hAnsi="方正仿宋_GBK" w:eastAsia="方正仿宋_GBK" w:cs="方正仿宋_GBK"/>
          <w:color w:val="auto"/>
          <w:lang w:val="en-US" w:eastAsia="zh-CN"/>
        </w:rPr>
        <w:t>768</w:t>
      </w:r>
      <w:r>
        <w:rPr>
          <w:rFonts w:hint="eastAsia" w:ascii="方正仿宋_GBK" w:hAnsi="方正仿宋_GBK" w:eastAsia="方正仿宋_GBK" w:cs="方正仿宋_GBK"/>
          <w:color w:val="auto"/>
        </w:rPr>
        <w:t>份</w:t>
      </w:r>
      <w:r>
        <w:rPr>
          <w:rFonts w:hint="eastAsia" w:ascii="方正仿宋_GBK" w:hAnsi="方正仿宋_GBK" w:eastAsia="方正仿宋_GBK" w:cs="方正仿宋_GBK"/>
          <w:color w:val="auto"/>
          <w:lang w:eastAsia="zh-CN"/>
        </w:rPr>
        <w:t>，按照相关意见反馈，修改形成</w:t>
      </w:r>
      <w:r>
        <w:rPr>
          <w:rFonts w:hint="eastAsia" w:ascii="Times New Roman" w:eastAsia="方正仿宋_GBK"/>
          <w:color w:val="auto"/>
          <w:highlight w:val="none"/>
        </w:rPr>
        <w:t>标准征求意见稿</w:t>
      </w:r>
      <w:r>
        <w:rPr>
          <w:rFonts w:hint="eastAsia" w:ascii="Times New Roman" w:eastAsia="方正仿宋_GBK"/>
          <w:color w:val="auto"/>
          <w:highlight w:val="none"/>
          <w:lang w:eastAsia="zh-CN"/>
        </w:rPr>
        <w:t>三</w:t>
      </w:r>
      <w:r>
        <w:rPr>
          <w:rFonts w:hint="eastAsia" w:ascii="Times New Roman" w:eastAsia="方正仿宋_GBK"/>
          <w:color w:val="auto"/>
          <w:highlight w:val="none"/>
        </w:rPr>
        <w:t>稿</w:t>
      </w:r>
      <w:r>
        <w:rPr>
          <w:rFonts w:hint="eastAsia" w:ascii="Times New Roman" w:eastAsia="方正仿宋_GBK"/>
          <w:color w:val="auto"/>
          <w:highlight w:val="none"/>
          <w:lang w:eastAsia="zh-CN"/>
        </w:rPr>
        <w:t>。</w:t>
      </w:r>
    </w:p>
    <w:p w14:paraId="1DC01158">
      <w:pPr>
        <w:pStyle w:val="16"/>
        <w:snapToGrid w:val="0"/>
        <w:ind w:firstLine="0"/>
        <w:rPr>
          <w:snapToGrid w:val="0"/>
          <w:color w:val="auto"/>
        </w:rPr>
      </w:pPr>
      <w:r>
        <w:rPr>
          <w:rFonts w:hint="eastAsia"/>
          <w:snapToGrid w:val="0"/>
          <w:color w:val="auto"/>
        </w:rPr>
        <w:t>二、行业标准编制原则、主要内容及其确定依据</w:t>
      </w:r>
    </w:p>
    <w:bookmarkEnd w:id="14"/>
    <w:bookmarkEnd w:id="15"/>
    <w:bookmarkEnd w:id="16"/>
    <w:p w14:paraId="1232444E">
      <w:pPr>
        <w:pStyle w:val="14"/>
        <w:snapToGrid w:val="0"/>
        <w:ind w:firstLine="0"/>
        <w:rPr>
          <w:rFonts w:ascii="方正楷体_GBK" w:hAnsi="方正楷体_GBK" w:cs="方正楷体_GBK"/>
          <w:snapToGrid w:val="0"/>
          <w:color w:val="auto"/>
          <w:kern w:val="0"/>
        </w:rPr>
      </w:pPr>
      <w:bookmarkStart w:id="20" w:name="_Toc26980"/>
      <w:bookmarkStart w:id="21" w:name="_Toc89083378"/>
      <w:bookmarkStart w:id="22" w:name="_Toc25760"/>
      <w:bookmarkStart w:id="23" w:name="_Toc89083379"/>
      <w:r>
        <w:rPr>
          <w:rFonts w:hint="eastAsia" w:ascii="方正楷体_GBK" w:hAnsi="方正楷体_GBK" w:cs="方正楷体_GBK"/>
          <w:snapToGrid w:val="0"/>
          <w:color w:val="auto"/>
          <w:kern w:val="0"/>
        </w:rPr>
        <w:t>（一）编制原则</w:t>
      </w:r>
      <w:bookmarkEnd w:id="20"/>
      <w:bookmarkEnd w:id="21"/>
    </w:p>
    <w:p w14:paraId="6773C4CF">
      <w:pPr>
        <w:pStyle w:val="14"/>
        <w:snapToGrid w:val="0"/>
        <w:ind w:firstLine="0"/>
        <w:rPr>
          <w:rFonts w:ascii="方正仿宋_GBK" w:hAnsi="方正仿宋_GBK" w:eastAsia="方正仿宋_GBK" w:cs="方正仿宋_GBK"/>
          <w:snapToGrid w:val="0"/>
          <w:color w:val="auto"/>
          <w:kern w:val="0"/>
        </w:rPr>
      </w:pPr>
      <w:bookmarkStart w:id="24" w:name="_Toc167721058"/>
      <w:r>
        <w:rPr>
          <w:rFonts w:hint="eastAsia" w:ascii="方正仿宋_GBK" w:hAnsi="方正仿宋_GBK" w:eastAsia="方正仿宋_GBK" w:cs="方正仿宋_GBK"/>
          <w:snapToGrid w:val="0"/>
          <w:color w:val="auto"/>
          <w:kern w:val="0"/>
        </w:rPr>
        <w:t>本标准的编写内容和格式严格按照GB/T 1.1-2020《标准化工作导则 第1部分：标准化文件的结构和起草规则》的要求进行，并遵循“统一性、协调性、适用性、一致性、规范性”原则，在广泛调研的基础上，提出具有广泛适用性和指导性的建议。</w:t>
      </w:r>
      <w:bookmarkEnd w:id="24"/>
    </w:p>
    <w:bookmarkEnd w:id="22"/>
    <w:bookmarkEnd w:id="23"/>
    <w:p w14:paraId="6126CE81">
      <w:pPr>
        <w:pStyle w:val="14"/>
        <w:snapToGrid w:val="0"/>
        <w:ind w:firstLine="0"/>
        <w:rPr>
          <w:rFonts w:ascii="方正楷体_GBK" w:hAnsi="方正楷体_GBK" w:cs="方正楷体_GBK"/>
          <w:snapToGrid w:val="0"/>
          <w:color w:val="auto"/>
          <w:kern w:val="0"/>
        </w:rPr>
      </w:pPr>
      <w:r>
        <w:rPr>
          <w:rFonts w:hint="eastAsia" w:ascii="方正楷体_GBK" w:hAnsi="方正楷体_GBK" w:cs="方正楷体_GBK"/>
          <w:snapToGrid w:val="0"/>
          <w:color w:val="auto"/>
          <w:kern w:val="0"/>
        </w:rPr>
        <w:t>（二）主要内容</w:t>
      </w:r>
    </w:p>
    <w:p w14:paraId="0EB98CD5">
      <w:pPr>
        <w:pStyle w:val="18"/>
        <w:snapToGrid w:val="0"/>
        <w:spacing w:line="560" w:lineRule="exact"/>
        <w:ind w:firstLine="0"/>
        <w:rPr>
          <w:rFonts w:hint="default" w:ascii="方正仿宋_GBK" w:hAnsi="方正仿宋_GBK" w:eastAsia="方正仿宋_GBK" w:cs="方正仿宋_GBK"/>
          <w:snapToGrid w:val="0"/>
          <w:color w:val="auto"/>
          <w:sz w:val="32"/>
          <w:szCs w:val="32"/>
        </w:rPr>
      </w:pPr>
      <w:bookmarkStart w:id="25" w:name="_Toc167721060"/>
      <w:r>
        <w:rPr>
          <w:rFonts w:ascii="方正仿宋_GBK" w:hAnsi="方正仿宋_GBK" w:eastAsia="方正仿宋_GBK" w:cs="方正仿宋_GBK"/>
          <w:snapToGrid w:val="0"/>
          <w:color w:val="auto"/>
          <w:sz w:val="32"/>
          <w:szCs w:val="32"/>
        </w:rPr>
        <w:t>本标准提供了养老顾问服务的基本原则、服务人员、服务内容、服务流程、服务评价与改进等方面的指导与信息，适用于为有需求的老年人及其家属开展养老顾问服务。</w:t>
      </w:r>
    </w:p>
    <w:p w14:paraId="53F905B9">
      <w:pPr>
        <w:pStyle w:val="18"/>
        <w:snapToGrid w:val="0"/>
        <w:spacing w:line="560" w:lineRule="exact"/>
        <w:ind w:firstLine="640" w:firstLineChars="200"/>
        <w:rPr>
          <w:rFonts w:hint="default" w:ascii="方正仿宋_GBK" w:hAnsi="方正仿宋_GBK" w:eastAsia="方正仿宋_GBK" w:cs="方正仿宋_GBK"/>
          <w:snapToGrid w:val="0"/>
          <w:color w:val="auto"/>
          <w:sz w:val="32"/>
          <w:szCs w:val="32"/>
        </w:rPr>
      </w:pPr>
      <w:r>
        <w:rPr>
          <w:rFonts w:hint="eastAsia" w:ascii="方正仿宋_GBK" w:hAnsi="方正仿宋_GBK" w:eastAsia="方正仿宋_GBK" w:cs="方正仿宋_GBK"/>
          <w:snapToGrid w:val="0"/>
          <w:color w:val="auto"/>
          <w:sz w:val="32"/>
          <w:szCs w:val="32"/>
          <w:lang w:eastAsia="zh-CN"/>
        </w:rPr>
        <w:t>1.</w:t>
      </w:r>
      <w:r>
        <w:rPr>
          <w:rFonts w:ascii="方正仿宋_GBK" w:hAnsi="方正仿宋_GBK" w:eastAsia="方正仿宋_GBK" w:cs="方正仿宋_GBK"/>
          <w:snapToGrid w:val="0"/>
          <w:color w:val="auto"/>
          <w:sz w:val="32"/>
          <w:szCs w:val="32"/>
        </w:rPr>
        <w:t>术语和定义</w:t>
      </w:r>
    </w:p>
    <w:p w14:paraId="3C6B9471">
      <w:pPr>
        <w:pStyle w:val="18"/>
        <w:snapToGrid w:val="0"/>
        <w:spacing w:line="560" w:lineRule="exact"/>
        <w:ind w:firstLine="640" w:firstLineChars="200"/>
        <w:rPr>
          <w:rFonts w:hint="default" w:ascii="方正仿宋_GBK" w:hAnsi="方正仿宋_GBK" w:eastAsia="方正仿宋_GBK" w:cs="方正仿宋_GBK"/>
          <w:snapToGrid w:val="0"/>
          <w:sz w:val="32"/>
          <w:szCs w:val="32"/>
        </w:rPr>
      </w:pPr>
      <w:r>
        <w:rPr>
          <w:rFonts w:ascii="方正仿宋_GBK" w:hAnsi="方正仿宋_GBK" w:eastAsia="方正仿宋_GBK" w:cs="方正仿宋_GBK"/>
          <w:snapToGrid w:val="0"/>
          <w:color w:val="auto"/>
          <w:sz w:val="32"/>
          <w:szCs w:val="32"/>
        </w:rPr>
        <w:t>该部分界定了</w:t>
      </w:r>
      <w:r>
        <w:rPr>
          <w:rFonts w:ascii="方正仿宋_GBK" w:hAnsi="方正仿宋_GBK" w:eastAsia="方正仿宋_GBK" w:cs="方正仿宋_GBK"/>
          <w:snapToGrid w:val="0"/>
          <w:sz w:val="32"/>
          <w:szCs w:val="32"/>
        </w:rPr>
        <w:t>“养老顾问服务”</w:t>
      </w:r>
      <w:r>
        <w:rPr>
          <w:rFonts w:hint="default" w:ascii="方正仿宋_GBK" w:hAnsi="方正仿宋_GBK" w:eastAsia="方正仿宋_GBK" w:cs="方正仿宋_GBK"/>
          <w:snapToGrid w:val="0"/>
          <w:sz w:val="32"/>
          <w:szCs w:val="32"/>
        </w:rPr>
        <w:t>这一</w:t>
      </w:r>
      <w:r>
        <w:rPr>
          <w:rFonts w:ascii="方正仿宋_GBK" w:hAnsi="方正仿宋_GBK" w:eastAsia="方正仿宋_GBK" w:cs="方正仿宋_GBK"/>
          <w:snapToGrid w:val="0"/>
          <w:sz w:val="32"/>
          <w:szCs w:val="32"/>
        </w:rPr>
        <w:t>术语。</w:t>
      </w:r>
    </w:p>
    <w:bookmarkEnd w:id="25"/>
    <w:p w14:paraId="120BD4EE">
      <w:pPr>
        <w:pStyle w:val="18"/>
        <w:adjustRightInd w:val="0"/>
        <w:snapToGrid w:val="0"/>
        <w:spacing w:line="560" w:lineRule="exact"/>
        <w:ind w:firstLine="640" w:firstLineChars="200"/>
        <w:rPr>
          <w:rFonts w:hint="default" w:ascii="方正仿宋_GBK" w:hAnsi="方正仿宋_GBK" w:eastAsia="方正仿宋_GBK" w:cs="方正仿宋_GBK"/>
          <w:snapToGrid w:val="0"/>
          <w:sz w:val="32"/>
          <w:szCs w:val="32"/>
        </w:rPr>
      </w:pPr>
      <w:r>
        <w:rPr>
          <w:rFonts w:hint="eastAsia" w:ascii="方正仿宋_GBK" w:hAnsi="方正仿宋_GBK" w:eastAsia="方正仿宋_GBK" w:cs="方正仿宋_GBK"/>
          <w:snapToGrid w:val="0"/>
          <w:sz w:val="32"/>
          <w:szCs w:val="32"/>
          <w:lang w:eastAsia="zh-CN"/>
        </w:rPr>
        <w:t>2.</w:t>
      </w:r>
      <w:r>
        <w:rPr>
          <w:rFonts w:ascii="方正仿宋_GBK" w:hAnsi="方正仿宋_GBK" w:eastAsia="方正仿宋_GBK" w:cs="方正仿宋_GBK"/>
          <w:snapToGrid w:val="0"/>
          <w:sz w:val="32"/>
          <w:szCs w:val="32"/>
        </w:rPr>
        <w:t>基本原则</w:t>
      </w:r>
    </w:p>
    <w:p w14:paraId="2206F1BC">
      <w:pPr>
        <w:pStyle w:val="18"/>
        <w:adjustRightInd w:val="0"/>
        <w:snapToGrid w:val="0"/>
        <w:spacing w:line="560" w:lineRule="exact"/>
        <w:ind w:firstLine="640" w:firstLineChars="200"/>
        <w:rPr>
          <w:rFonts w:hint="default" w:ascii="方正仿宋_GBK" w:hAnsi="方正仿宋_GBK" w:eastAsia="方正仿宋_GBK" w:cs="方正仿宋_GBK"/>
          <w:snapToGrid w:val="0"/>
          <w:sz w:val="32"/>
          <w:szCs w:val="32"/>
        </w:rPr>
      </w:pPr>
      <w:r>
        <w:rPr>
          <w:rFonts w:ascii="方正仿宋_GBK" w:hAnsi="方正仿宋_GBK" w:eastAsia="方正仿宋_GBK" w:cs="方正仿宋_GBK"/>
          <w:snapToGrid w:val="0"/>
          <w:sz w:val="32"/>
          <w:szCs w:val="32"/>
        </w:rPr>
        <w:t>该部分提出了以人为本、公平公正、尊重与保护权益、持续支持</w:t>
      </w:r>
      <w:r>
        <w:rPr>
          <w:rFonts w:hint="eastAsia" w:ascii="方正仿宋_GBK" w:hAnsi="方正仿宋_GBK" w:eastAsia="方正仿宋_GBK" w:cs="方正仿宋_GBK"/>
          <w:snapToGrid w:val="0"/>
          <w:sz w:val="32"/>
          <w:szCs w:val="32"/>
          <w:lang w:eastAsia="zh-CN"/>
        </w:rPr>
        <w:t>的</w:t>
      </w:r>
      <w:r>
        <w:rPr>
          <w:rFonts w:ascii="方正仿宋_GBK" w:hAnsi="方正仿宋_GBK" w:eastAsia="方正仿宋_GBK" w:cs="方正仿宋_GBK"/>
          <w:snapToGrid w:val="0"/>
          <w:sz w:val="32"/>
          <w:szCs w:val="32"/>
        </w:rPr>
        <w:t>基本原则。</w:t>
      </w:r>
    </w:p>
    <w:p w14:paraId="35E6573F">
      <w:pPr>
        <w:pStyle w:val="18"/>
        <w:adjustRightInd w:val="0"/>
        <w:snapToGrid w:val="0"/>
        <w:spacing w:line="560" w:lineRule="exact"/>
        <w:ind w:firstLine="640" w:firstLineChars="200"/>
        <w:rPr>
          <w:rFonts w:hint="default" w:ascii="方正仿宋_GBK" w:hAnsi="方正仿宋_GBK" w:eastAsia="方正仿宋_GBK" w:cs="方正仿宋_GBK"/>
          <w:snapToGrid w:val="0"/>
          <w:sz w:val="32"/>
          <w:szCs w:val="32"/>
        </w:rPr>
      </w:pPr>
      <w:r>
        <w:rPr>
          <w:rFonts w:hint="eastAsia" w:ascii="方正仿宋_GBK" w:hAnsi="方正仿宋_GBK" w:eastAsia="方正仿宋_GBK" w:cs="方正仿宋_GBK"/>
          <w:snapToGrid w:val="0"/>
          <w:sz w:val="32"/>
          <w:szCs w:val="32"/>
          <w:lang w:eastAsia="zh-CN"/>
        </w:rPr>
        <w:t>3.</w:t>
      </w:r>
      <w:r>
        <w:rPr>
          <w:rFonts w:ascii="方正仿宋_GBK" w:hAnsi="方正仿宋_GBK" w:eastAsia="方正仿宋_GBK" w:cs="方正仿宋_GBK"/>
          <w:snapToGrid w:val="0"/>
          <w:sz w:val="32"/>
          <w:szCs w:val="32"/>
        </w:rPr>
        <w:t>服务人员</w:t>
      </w:r>
    </w:p>
    <w:p w14:paraId="57997CF1">
      <w:pPr>
        <w:pStyle w:val="18"/>
        <w:adjustRightInd w:val="0"/>
        <w:snapToGrid w:val="0"/>
        <w:spacing w:line="560" w:lineRule="exact"/>
        <w:ind w:firstLine="640" w:firstLineChars="200"/>
        <w:rPr>
          <w:rFonts w:hint="default" w:ascii="方正仿宋_GBK" w:hAnsi="方正仿宋_GBK" w:eastAsia="方正仿宋_GBK" w:cs="方正仿宋_GBK"/>
          <w:snapToGrid w:val="0"/>
          <w:sz w:val="32"/>
          <w:szCs w:val="32"/>
        </w:rPr>
      </w:pPr>
      <w:r>
        <w:rPr>
          <w:rFonts w:ascii="方正仿宋_GBK" w:hAnsi="方正仿宋_GBK" w:eastAsia="方正仿宋_GBK" w:cs="方正仿宋_GBK"/>
          <w:snapToGrid w:val="0"/>
          <w:sz w:val="32"/>
          <w:szCs w:val="32"/>
        </w:rPr>
        <w:t>该部分提供了开展养老顾问服务的服务人员在职业道德、身体素质、</w:t>
      </w:r>
      <w:r>
        <w:rPr>
          <w:rFonts w:hint="eastAsia" w:ascii="方正仿宋_GBK" w:hAnsi="方正仿宋_GBK" w:eastAsia="方正仿宋_GBK" w:cs="方正仿宋_GBK"/>
          <w:snapToGrid w:val="0"/>
          <w:sz w:val="32"/>
          <w:szCs w:val="32"/>
          <w:lang w:eastAsia="zh-CN"/>
        </w:rPr>
        <w:t>技能知识与接受专业培训</w:t>
      </w:r>
      <w:r>
        <w:rPr>
          <w:rFonts w:ascii="方正仿宋_GBK" w:hAnsi="方正仿宋_GBK" w:eastAsia="方正仿宋_GBK" w:cs="方正仿宋_GBK"/>
          <w:snapToGrid w:val="0"/>
          <w:sz w:val="32"/>
          <w:szCs w:val="32"/>
        </w:rPr>
        <w:t>等方面的条件。</w:t>
      </w:r>
    </w:p>
    <w:p w14:paraId="5C3706FC">
      <w:pPr>
        <w:pStyle w:val="18"/>
        <w:adjustRightInd w:val="0"/>
        <w:snapToGrid w:val="0"/>
        <w:spacing w:line="560" w:lineRule="exact"/>
        <w:ind w:firstLine="640" w:firstLineChars="200"/>
        <w:rPr>
          <w:rFonts w:hint="default" w:ascii="方正仿宋_GBK" w:hAnsi="方正仿宋_GBK" w:eastAsia="方正仿宋_GBK" w:cs="方正仿宋_GBK"/>
          <w:snapToGrid w:val="0"/>
          <w:sz w:val="32"/>
          <w:szCs w:val="32"/>
        </w:rPr>
      </w:pPr>
      <w:r>
        <w:rPr>
          <w:rFonts w:hint="eastAsia" w:ascii="方正仿宋_GBK" w:hAnsi="方正仿宋_GBK" w:eastAsia="方正仿宋_GBK" w:cs="方正仿宋_GBK"/>
          <w:snapToGrid w:val="0"/>
          <w:sz w:val="32"/>
          <w:szCs w:val="32"/>
          <w:lang w:eastAsia="zh-CN"/>
        </w:rPr>
        <w:t>4.</w:t>
      </w:r>
      <w:r>
        <w:rPr>
          <w:rFonts w:ascii="方正仿宋_GBK" w:hAnsi="方正仿宋_GBK" w:eastAsia="方正仿宋_GBK" w:cs="方正仿宋_GBK"/>
          <w:snapToGrid w:val="0"/>
          <w:sz w:val="32"/>
          <w:szCs w:val="32"/>
        </w:rPr>
        <w:t>服务内容</w:t>
      </w:r>
    </w:p>
    <w:p w14:paraId="7C2480EC">
      <w:pPr>
        <w:pStyle w:val="18"/>
        <w:adjustRightInd w:val="0"/>
        <w:snapToGrid w:val="0"/>
        <w:spacing w:line="560" w:lineRule="exact"/>
        <w:ind w:firstLine="640" w:firstLineChars="200"/>
        <w:rPr>
          <w:rFonts w:hint="default" w:ascii="方正仿宋_GBK" w:hAnsi="方正仿宋_GBK" w:eastAsia="方正仿宋_GBK" w:cs="方正仿宋_GBK"/>
          <w:snapToGrid w:val="0"/>
          <w:sz w:val="32"/>
          <w:szCs w:val="32"/>
        </w:rPr>
      </w:pPr>
      <w:r>
        <w:rPr>
          <w:rFonts w:ascii="方正仿宋_GBK" w:hAnsi="方正仿宋_GBK" w:eastAsia="方正仿宋_GBK" w:cs="方正仿宋_GBK"/>
          <w:snapToGrid w:val="0"/>
          <w:sz w:val="32"/>
          <w:szCs w:val="32"/>
        </w:rPr>
        <w:t>该部分给出了</w:t>
      </w:r>
      <w:r>
        <w:rPr>
          <w:rFonts w:hint="eastAsia" w:ascii="方正仿宋_GBK" w:hAnsi="方正仿宋_GBK" w:eastAsia="方正仿宋_GBK" w:cs="方正仿宋_GBK"/>
          <w:snapToGrid w:val="0"/>
          <w:sz w:val="32"/>
          <w:szCs w:val="32"/>
        </w:rPr>
        <w:t>养老政策与信息咨询</w:t>
      </w:r>
      <w:r>
        <w:rPr>
          <w:rFonts w:hint="eastAsia" w:ascii="方正仿宋_GBK" w:hAnsi="方正仿宋_GBK" w:eastAsia="方正仿宋_GBK" w:cs="方正仿宋_GBK"/>
          <w:snapToGrid w:val="0"/>
          <w:sz w:val="32"/>
          <w:szCs w:val="32"/>
        </w:rPr>
        <w:tab/>
      </w:r>
      <w:r>
        <w:rPr>
          <w:rFonts w:hint="eastAsia" w:ascii="方正仿宋_GBK" w:hAnsi="方正仿宋_GBK" w:eastAsia="方正仿宋_GBK" w:cs="方正仿宋_GBK"/>
          <w:snapToGrid w:val="0"/>
          <w:sz w:val="32"/>
          <w:szCs w:val="32"/>
          <w:lang w:eastAsia="zh-CN"/>
        </w:rPr>
        <w:t>、</w:t>
      </w:r>
      <w:r>
        <w:rPr>
          <w:rFonts w:hint="eastAsia" w:ascii="方正仿宋_GBK" w:hAnsi="方正仿宋_GBK" w:eastAsia="方正仿宋_GBK" w:cs="方正仿宋_GBK"/>
          <w:snapToGrid w:val="0"/>
          <w:sz w:val="32"/>
          <w:szCs w:val="32"/>
        </w:rPr>
        <w:t>养老服务资源对接</w:t>
      </w:r>
      <w:r>
        <w:rPr>
          <w:rFonts w:hint="eastAsia" w:ascii="方正仿宋_GBK" w:hAnsi="方正仿宋_GBK" w:eastAsia="方正仿宋_GBK" w:cs="方正仿宋_GBK"/>
          <w:snapToGrid w:val="0"/>
          <w:sz w:val="32"/>
          <w:szCs w:val="32"/>
          <w:lang w:eastAsia="zh-CN"/>
        </w:rPr>
        <w:t>、</w:t>
      </w:r>
      <w:r>
        <w:rPr>
          <w:rFonts w:hint="eastAsia" w:ascii="方正仿宋_GBK" w:hAnsi="方正仿宋_GBK" w:eastAsia="方正仿宋_GBK" w:cs="方正仿宋_GBK"/>
          <w:snapToGrid w:val="0"/>
          <w:sz w:val="32"/>
          <w:szCs w:val="32"/>
        </w:rPr>
        <w:t>个性化照护服务方案制定</w:t>
      </w:r>
      <w:r>
        <w:rPr>
          <w:rFonts w:hint="eastAsia" w:ascii="方正仿宋_GBK" w:hAnsi="方正仿宋_GBK" w:eastAsia="方正仿宋_GBK" w:cs="方正仿宋_GBK"/>
          <w:snapToGrid w:val="0"/>
          <w:sz w:val="32"/>
          <w:szCs w:val="32"/>
          <w:lang w:eastAsia="zh-CN"/>
        </w:rPr>
        <w:t>、</w:t>
      </w:r>
      <w:r>
        <w:rPr>
          <w:rFonts w:hint="eastAsia" w:ascii="方正仿宋_GBK" w:hAnsi="方正仿宋_GBK" w:eastAsia="方正仿宋_GBK" w:cs="方正仿宋_GBK"/>
          <w:snapToGrid w:val="0"/>
          <w:sz w:val="32"/>
          <w:szCs w:val="32"/>
        </w:rPr>
        <w:t>养老规划指导</w:t>
      </w:r>
      <w:r>
        <w:rPr>
          <w:rFonts w:ascii="方正仿宋_GBK" w:hAnsi="方正仿宋_GBK" w:eastAsia="方正仿宋_GBK" w:cs="方正仿宋_GBK"/>
          <w:snapToGrid w:val="0"/>
          <w:sz w:val="32"/>
          <w:szCs w:val="32"/>
        </w:rPr>
        <w:t>等服务项目及其具体的服务内容。</w:t>
      </w:r>
    </w:p>
    <w:p w14:paraId="0F49D5FD">
      <w:pPr>
        <w:pStyle w:val="18"/>
        <w:adjustRightInd w:val="0"/>
        <w:snapToGrid w:val="0"/>
        <w:spacing w:line="560" w:lineRule="exact"/>
        <w:ind w:firstLine="640" w:firstLineChars="200"/>
        <w:rPr>
          <w:rFonts w:hint="default" w:ascii="方正仿宋_GBK" w:hAnsi="方正仿宋_GBK" w:eastAsia="方正仿宋_GBK" w:cs="方正仿宋_GBK"/>
          <w:snapToGrid w:val="0"/>
          <w:sz w:val="32"/>
          <w:szCs w:val="32"/>
        </w:rPr>
      </w:pPr>
      <w:r>
        <w:rPr>
          <w:rFonts w:hint="eastAsia" w:ascii="方正仿宋_GBK" w:hAnsi="方正仿宋_GBK" w:eastAsia="方正仿宋_GBK" w:cs="方正仿宋_GBK"/>
          <w:snapToGrid w:val="0"/>
          <w:sz w:val="32"/>
          <w:szCs w:val="32"/>
          <w:lang w:eastAsia="zh-CN"/>
        </w:rPr>
        <w:t>5.</w:t>
      </w:r>
      <w:r>
        <w:rPr>
          <w:rFonts w:ascii="方正仿宋_GBK" w:hAnsi="方正仿宋_GBK" w:eastAsia="方正仿宋_GBK" w:cs="方正仿宋_GBK"/>
          <w:snapToGrid w:val="0"/>
          <w:sz w:val="32"/>
          <w:szCs w:val="32"/>
        </w:rPr>
        <w:t>服务流程</w:t>
      </w:r>
    </w:p>
    <w:p w14:paraId="6B514B5A">
      <w:pPr>
        <w:pStyle w:val="18"/>
        <w:adjustRightInd w:val="0"/>
        <w:snapToGrid w:val="0"/>
        <w:spacing w:line="560" w:lineRule="exact"/>
        <w:ind w:firstLine="640" w:firstLineChars="200"/>
        <w:rPr>
          <w:rFonts w:hint="default" w:ascii="方正仿宋_GBK" w:hAnsi="方正仿宋_GBK" w:eastAsia="方正仿宋_GBK" w:cs="方正仿宋_GBK"/>
          <w:snapToGrid w:val="0"/>
          <w:sz w:val="32"/>
          <w:szCs w:val="32"/>
        </w:rPr>
      </w:pPr>
      <w:r>
        <w:rPr>
          <w:rFonts w:ascii="方正仿宋_GBK" w:hAnsi="方正仿宋_GBK" w:eastAsia="方正仿宋_GBK" w:cs="方正仿宋_GBK"/>
          <w:snapToGrid w:val="0"/>
          <w:sz w:val="32"/>
          <w:szCs w:val="32"/>
        </w:rPr>
        <w:t>该部分</w:t>
      </w:r>
      <w:r>
        <w:rPr>
          <w:rFonts w:hint="eastAsia" w:ascii="方正仿宋_GBK" w:hAnsi="方正仿宋_GBK" w:eastAsia="方正仿宋_GBK" w:cs="方正仿宋_GBK"/>
          <w:snapToGrid w:val="0"/>
          <w:sz w:val="32"/>
          <w:szCs w:val="32"/>
          <w:lang w:eastAsia="zh-CN"/>
        </w:rPr>
        <w:t>给</w:t>
      </w:r>
      <w:r>
        <w:rPr>
          <w:rFonts w:ascii="方正仿宋_GBK" w:hAnsi="方正仿宋_GBK" w:eastAsia="方正仿宋_GBK" w:cs="方正仿宋_GBK"/>
          <w:snapToGrid w:val="0"/>
          <w:sz w:val="32"/>
          <w:szCs w:val="32"/>
        </w:rPr>
        <w:t>出了从需求调查、专业评估、服务方案设计到服务准备、服务实施再到服务结束的一系列服务流程。</w:t>
      </w:r>
    </w:p>
    <w:p w14:paraId="2CF5672E">
      <w:pPr>
        <w:pStyle w:val="18"/>
        <w:adjustRightInd w:val="0"/>
        <w:snapToGrid w:val="0"/>
        <w:spacing w:line="560" w:lineRule="exact"/>
        <w:ind w:firstLine="640" w:firstLineChars="200"/>
        <w:rPr>
          <w:rFonts w:hint="default" w:ascii="方正仿宋_GBK" w:hAnsi="方正仿宋_GBK" w:eastAsia="方正仿宋_GBK" w:cs="方正仿宋_GBK"/>
          <w:snapToGrid w:val="0"/>
          <w:sz w:val="32"/>
          <w:szCs w:val="32"/>
        </w:rPr>
      </w:pPr>
      <w:r>
        <w:rPr>
          <w:rFonts w:hint="eastAsia" w:ascii="方正仿宋_GBK" w:hAnsi="方正仿宋_GBK" w:eastAsia="方正仿宋_GBK" w:cs="方正仿宋_GBK"/>
          <w:snapToGrid w:val="0"/>
          <w:sz w:val="32"/>
          <w:szCs w:val="32"/>
          <w:lang w:eastAsia="zh-CN"/>
        </w:rPr>
        <w:t>6.</w:t>
      </w:r>
      <w:r>
        <w:rPr>
          <w:rFonts w:ascii="方正仿宋_GBK" w:hAnsi="方正仿宋_GBK" w:eastAsia="方正仿宋_GBK" w:cs="方正仿宋_GBK"/>
          <w:snapToGrid w:val="0"/>
          <w:sz w:val="32"/>
          <w:szCs w:val="32"/>
        </w:rPr>
        <w:t>服务评价与改进</w:t>
      </w:r>
    </w:p>
    <w:p w14:paraId="1EA00099">
      <w:pPr>
        <w:pStyle w:val="18"/>
        <w:adjustRightInd w:val="0"/>
        <w:snapToGrid w:val="0"/>
        <w:spacing w:line="560" w:lineRule="exact"/>
        <w:ind w:firstLine="640" w:firstLineChars="200"/>
        <w:rPr>
          <w:rFonts w:hint="default" w:ascii="方正仿宋_GBK" w:hAnsi="方正仿宋_GBK" w:eastAsia="方正仿宋_GBK" w:cs="方正仿宋_GBK"/>
          <w:snapToGrid w:val="0"/>
          <w:sz w:val="32"/>
          <w:szCs w:val="32"/>
        </w:rPr>
      </w:pPr>
      <w:r>
        <w:rPr>
          <w:rFonts w:ascii="方正仿宋_GBK" w:hAnsi="方正仿宋_GBK" w:eastAsia="方正仿宋_GBK" w:cs="方正仿宋_GBK"/>
          <w:snapToGrid w:val="0"/>
          <w:sz w:val="32"/>
          <w:szCs w:val="32"/>
        </w:rPr>
        <w:t>该部分给出了养老顾问服务的评价内容、评价方式、评价分析方法、评价改进机制及投诉处理闭环机制等内容。</w:t>
      </w:r>
    </w:p>
    <w:p w14:paraId="23C4097B">
      <w:pPr>
        <w:pStyle w:val="14"/>
        <w:adjustRightInd w:val="0"/>
        <w:snapToGrid w:val="0"/>
        <w:ind w:firstLine="0"/>
        <w:rPr>
          <w:rFonts w:ascii="方正楷体_GBK" w:hAnsi="方正楷体_GBK" w:cs="方正楷体_GBK"/>
          <w:snapToGrid w:val="0"/>
          <w:kern w:val="0"/>
        </w:rPr>
      </w:pPr>
      <w:r>
        <w:rPr>
          <w:rFonts w:hint="eastAsia" w:ascii="方正楷体_GBK" w:hAnsi="方正楷体_GBK" w:cs="方正楷体_GBK"/>
          <w:snapToGrid w:val="0"/>
          <w:kern w:val="0"/>
        </w:rPr>
        <w:t>（三）确定依据</w:t>
      </w:r>
    </w:p>
    <w:p w14:paraId="6C4663C7">
      <w:pPr>
        <w:pStyle w:val="18"/>
        <w:snapToGrid w:val="0"/>
        <w:spacing w:line="560" w:lineRule="exact"/>
        <w:ind w:firstLine="0"/>
        <w:rPr>
          <w:rFonts w:hint="default" w:ascii="方正仿宋_GBK" w:hAnsi="方正仿宋_GBK" w:eastAsia="方正仿宋_GBK" w:cs="方正仿宋_GBK"/>
          <w:snapToGrid w:val="0"/>
          <w:sz w:val="32"/>
          <w:szCs w:val="32"/>
        </w:rPr>
      </w:pPr>
      <w:r>
        <w:rPr>
          <w:rFonts w:hint="default" w:ascii="方正仿宋_GBK" w:hAnsi="方正仿宋_GBK" w:eastAsia="方正仿宋_GBK" w:cs="方正仿宋_GBK"/>
          <w:snapToGrid w:val="0"/>
          <w:sz w:val="32"/>
          <w:szCs w:val="32"/>
        </w:rPr>
        <w:t>《关于进一步促进养老服务消费 提升老年人生活品质的若干措施》（民发〔2024〕52号）</w:t>
      </w:r>
    </w:p>
    <w:p w14:paraId="7DC7912F">
      <w:pPr>
        <w:pStyle w:val="18"/>
        <w:snapToGrid w:val="0"/>
        <w:spacing w:line="560" w:lineRule="exact"/>
        <w:ind w:firstLine="0"/>
        <w:rPr>
          <w:rFonts w:hint="default" w:ascii="方正仿宋_GBK" w:hAnsi="方正仿宋_GBK" w:eastAsia="方正仿宋_GBK" w:cs="方正仿宋_GBK"/>
          <w:snapToGrid w:val="0"/>
          <w:sz w:val="32"/>
          <w:szCs w:val="32"/>
        </w:rPr>
      </w:pPr>
      <w:r>
        <w:rPr>
          <w:rFonts w:ascii="方正仿宋_GBK" w:hAnsi="方正仿宋_GBK" w:eastAsia="方正仿宋_GBK" w:cs="方正仿宋_GBK"/>
          <w:snapToGrid w:val="0"/>
          <w:sz w:val="32"/>
          <w:szCs w:val="32"/>
        </w:rPr>
        <w:t>《</w:t>
      </w:r>
      <w:r>
        <w:rPr>
          <w:rFonts w:hint="default" w:ascii="方正仿宋_GBK" w:hAnsi="方正仿宋_GBK" w:eastAsia="方正仿宋_GBK" w:cs="方正仿宋_GBK"/>
          <w:snapToGrid w:val="0"/>
          <w:sz w:val="32"/>
          <w:szCs w:val="32"/>
        </w:rPr>
        <w:t>中共中央 国务院关于深化养老服务改革发展的意见</w:t>
      </w:r>
      <w:r>
        <w:rPr>
          <w:rFonts w:ascii="方正仿宋_GBK" w:hAnsi="方正仿宋_GBK" w:eastAsia="方正仿宋_GBK" w:cs="方正仿宋_GBK"/>
          <w:snapToGrid w:val="0"/>
          <w:sz w:val="32"/>
          <w:szCs w:val="32"/>
        </w:rPr>
        <w:t>》</w:t>
      </w:r>
    </w:p>
    <w:p w14:paraId="5477AC50">
      <w:pPr>
        <w:pStyle w:val="16"/>
        <w:snapToGrid w:val="0"/>
        <w:ind w:firstLine="0"/>
        <w:rPr>
          <w:snapToGrid w:val="0"/>
        </w:rPr>
      </w:pPr>
      <w:bookmarkStart w:id="26" w:name="_Toc31321"/>
      <w:bookmarkStart w:id="27" w:name="_Toc89083381"/>
      <w:bookmarkStart w:id="28" w:name="_Toc27445"/>
      <w:r>
        <w:rPr>
          <w:rFonts w:hint="eastAsia"/>
          <w:snapToGrid w:val="0"/>
        </w:rPr>
        <w:t>三、试验验证的分析、综述报告，技术经济论证，预期的经济效益、社会效益和生态效益</w:t>
      </w:r>
    </w:p>
    <w:p w14:paraId="06CF3912">
      <w:pPr>
        <w:pStyle w:val="16"/>
        <w:snapToGrid w:val="0"/>
        <w:ind w:firstLine="0"/>
        <w:rPr>
          <w:rFonts w:ascii="方正楷体_GBK" w:hAnsi="方正楷体_GBK" w:eastAsia="方正楷体_GBK" w:cs="方正楷体_GBK"/>
          <w:bCs/>
          <w:snapToGrid w:val="0"/>
        </w:rPr>
      </w:pPr>
      <w:r>
        <w:rPr>
          <w:rFonts w:hint="eastAsia" w:ascii="方正楷体_GBK" w:hAnsi="方正楷体_GBK" w:eastAsia="方正楷体_GBK" w:cs="方正楷体_GBK"/>
          <w:bCs/>
          <w:snapToGrid w:val="0"/>
        </w:rPr>
        <w:t>（一）试验验证的分析、综述报告</w:t>
      </w:r>
    </w:p>
    <w:p w14:paraId="75132019">
      <w:pPr>
        <w:pStyle w:val="16"/>
        <w:adjustRightInd w:val="0"/>
        <w:snapToGrid w:val="0"/>
        <w:ind w:firstLine="0"/>
        <w:rPr>
          <w:rFonts w:ascii="方正仿宋_GBK" w:hAnsi="方正仿宋_GBK" w:eastAsia="方正仿宋_GBK" w:cs="方正仿宋_GBK"/>
          <w:b/>
          <w:snapToGrid w:val="0"/>
          <w:color w:val="auto"/>
        </w:rPr>
      </w:pPr>
      <w:r>
        <w:rPr>
          <w:rFonts w:hint="eastAsia" w:ascii="方正仿宋_GBK" w:hAnsi="方正仿宋_GBK" w:eastAsia="方正仿宋_GBK" w:cs="方正仿宋_GBK"/>
          <w:snapToGrid w:val="0"/>
        </w:rPr>
        <w:t>本标准在编制过程中充分考虑与养老服务领域已发布及在编标准的协调性，在收集整理全国及各地相关政策文件</w:t>
      </w:r>
      <w:r>
        <w:rPr>
          <w:rFonts w:hint="eastAsia" w:ascii="方正仿宋_GBK" w:hAnsi="方正仿宋_GBK" w:eastAsia="方正仿宋_GBK" w:cs="方正仿宋_GBK"/>
          <w:snapToGrid w:val="0"/>
          <w:color w:val="auto"/>
          <w:lang w:eastAsia="zh-CN"/>
        </w:rPr>
        <w:t>、</w:t>
      </w:r>
      <w:r>
        <w:rPr>
          <w:rFonts w:hint="eastAsia" w:ascii="方正仿宋_GBK" w:hAnsi="方正仿宋_GBK" w:eastAsia="方正仿宋_GBK" w:cs="方正仿宋_GBK"/>
          <w:snapToGrid w:val="0"/>
          <w:color w:val="auto"/>
        </w:rPr>
        <w:t>调研总结全国养老顾问服务发展实践经验的基础上，从突出标准的实用性</w:t>
      </w:r>
      <w:r>
        <w:rPr>
          <w:rFonts w:hint="eastAsia" w:ascii="方正仿宋_GBK" w:hAnsi="方正仿宋_GBK" w:eastAsia="方正仿宋_GBK" w:cs="方正仿宋_GBK"/>
          <w:snapToGrid w:val="0"/>
          <w:color w:val="auto"/>
          <w:lang w:eastAsia="zh-CN"/>
        </w:rPr>
        <w:t>、</w:t>
      </w:r>
      <w:r>
        <w:rPr>
          <w:rFonts w:hint="eastAsia" w:ascii="方正仿宋_GBK" w:hAnsi="方正仿宋_GBK" w:eastAsia="方正仿宋_GBK" w:cs="方正仿宋_GBK"/>
          <w:snapToGrid w:val="0"/>
          <w:color w:val="auto"/>
        </w:rPr>
        <w:t>先进性等角度，</w:t>
      </w:r>
      <w:r>
        <w:rPr>
          <w:rFonts w:hint="eastAsia" w:ascii="方正仿宋_GBK" w:hAnsi="方正仿宋_GBK" w:eastAsia="方正仿宋_GBK" w:cs="方正仿宋_GBK"/>
          <w:snapToGrid w:val="0"/>
          <w:color w:val="auto"/>
          <w:lang w:val="en-US" w:eastAsia="zh-CN"/>
        </w:rPr>
        <w:t>给出</w:t>
      </w:r>
      <w:r>
        <w:rPr>
          <w:rFonts w:hint="eastAsia" w:ascii="方正仿宋_GBK" w:hAnsi="方正仿宋_GBK" w:eastAsia="方正仿宋_GBK" w:cs="方正仿宋_GBK"/>
          <w:snapToGrid w:val="0"/>
          <w:color w:val="auto"/>
        </w:rPr>
        <w:t>基本原则、服务人员、服务内容、服务流程、服务评价与改进等方面</w:t>
      </w:r>
      <w:r>
        <w:rPr>
          <w:rFonts w:hint="eastAsia" w:ascii="方正仿宋_GBK" w:hAnsi="方正仿宋_GBK" w:eastAsia="方正仿宋_GBK" w:cs="方正仿宋_GBK"/>
          <w:snapToGrid w:val="0"/>
          <w:color w:val="auto"/>
          <w:lang w:val="en-US" w:eastAsia="zh-CN"/>
        </w:rPr>
        <w:t>的</w:t>
      </w:r>
      <w:r>
        <w:rPr>
          <w:rFonts w:hint="eastAsia" w:ascii="方正仿宋_GBK" w:hAnsi="方正仿宋_GBK" w:eastAsia="方正仿宋_GBK" w:cs="方正仿宋_GBK"/>
          <w:snapToGrid w:val="0"/>
          <w:color w:val="auto"/>
        </w:rPr>
        <w:t>指导与建议。</w:t>
      </w:r>
    </w:p>
    <w:p w14:paraId="24432B73">
      <w:pPr>
        <w:pStyle w:val="16"/>
        <w:snapToGrid w:val="0"/>
        <w:ind w:firstLine="0"/>
        <w:rPr>
          <w:rFonts w:hint="eastAsia" w:ascii="方正仿宋_GBK" w:hAnsi="方正仿宋_GBK" w:eastAsia="方正仿宋_GBK" w:cs="方正仿宋_GBK"/>
          <w:snapToGrid w:val="0"/>
          <w:color w:val="auto"/>
        </w:rPr>
      </w:pPr>
      <w:r>
        <w:rPr>
          <w:rFonts w:hint="eastAsia" w:ascii="方正仿宋_GBK" w:hAnsi="方正仿宋_GBK" w:eastAsia="方正仿宋_GBK" w:cs="仿宋"/>
          <w:snapToGrid w:val="0"/>
          <w:color w:val="auto"/>
          <w:kern w:val="0"/>
        </w:rPr>
        <w:t>《关于进一步促进养老服务消费 提升老年人生活品质的若干措施》</w:t>
      </w:r>
      <w:r>
        <w:rPr>
          <w:rFonts w:hint="eastAsia" w:ascii="方正仿宋_GBK" w:hAnsi="方正仿宋_GBK" w:eastAsia="方正仿宋_GBK" w:cs="仿宋"/>
          <w:snapToGrid w:val="0"/>
          <w:color w:val="auto"/>
          <w:kern w:val="0"/>
          <w:lang w:eastAsia="zh-CN"/>
        </w:rPr>
        <w:t>、</w:t>
      </w:r>
      <w:r>
        <w:rPr>
          <w:rFonts w:hint="eastAsia" w:ascii="方正仿宋_GBK" w:hAnsi="方正仿宋_GBK" w:eastAsia="方正仿宋_GBK" w:cs="仿宋"/>
          <w:snapToGrid w:val="0"/>
          <w:color w:val="auto"/>
          <w:kern w:val="0"/>
        </w:rPr>
        <w:t>《中共中央 国务院关于深化养老服务改革发展的意见》</w:t>
      </w:r>
      <w:r>
        <w:rPr>
          <w:rFonts w:hint="eastAsia" w:ascii="方正仿宋_GBK" w:hAnsi="方正仿宋_GBK" w:eastAsia="方正仿宋_GBK" w:cs="仿宋"/>
          <w:snapToGrid w:val="0"/>
          <w:color w:val="auto"/>
          <w:kern w:val="0"/>
          <w:lang w:eastAsia="zh-CN"/>
        </w:rPr>
        <w:t>等政策文件</w:t>
      </w:r>
      <w:r>
        <w:rPr>
          <w:rFonts w:hint="eastAsia" w:ascii="方正仿宋_GBK" w:hAnsi="方正仿宋_GBK" w:eastAsia="方正仿宋_GBK" w:cs="仿宋"/>
          <w:snapToGrid w:val="0"/>
          <w:color w:val="auto"/>
          <w:kern w:val="0"/>
        </w:rPr>
        <w:t>提出，探索开展</w:t>
      </w:r>
      <w:r>
        <w:rPr>
          <w:rFonts w:hint="eastAsia" w:ascii="方正仿宋_GBK" w:hAnsi="方正仿宋_GBK" w:eastAsia="方正仿宋_GBK" w:cs="仿宋"/>
          <w:snapToGrid w:val="0"/>
          <w:color w:val="auto"/>
          <w:kern w:val="0"/>
          <w:lang w:eastAsia="zh-CN"/>
        </w:rPr>
        <w:t>并推广</w:t>
      </w:r>
      <w:r>
        <w:rPr>
          <w:rFonts w:hint="eastAsia" w:ascii="方正仿宋_GBK" w:hAnsi="方正仿宋_GBK" w:eastAsia="方正仿宋_GBK" w:cs="仿宋"/>
          <w:snapToGrid w:val="0"/>
          <w:color w:val="auto"/>
          <w:kern w:val="0"/>
        </w:rPr>
        <w:t>养老顾问服务。</w:t>
      </w:r>
      <w:r>
        <w:rPr>
          <w:rFonts w:hint="eastAsia" w:ascii="方正仿宋_GBK" w:hAnsi="方正仿宋_GBK" w:eastAsia="方正仿宋_GBK" w:cs="方正仿宋_GBK"/>
          <w:snapToGrid w:val="0"/>
          <w:color w:val="auto"/>
          <w:kern w:val="0"/>
        </w:rPr>
        <w:t>国家层面文件主要对养老顾问服务的职能定位给出了指导性意见，对于</w:t>
      </w:r>
      <w:r>
        <w:rPr>
          <w:rFonts w:hint="eastAsia" w:ascii="方正仿宋_GBK" w:hAnsi="方正仿宋_GBK" w:eastAsia="方正仿宋_GBK" w:cs="仿宋"/>
          <w:snapToGrid w:val="0"/>
          <w:color w:val="auto"/>
        </w:rPr>
        <w:t>服务流程、服务人员等方面并</w:t>
      </w:r>
      <w:r>
        <w:rPr>
          <w:rFonts w:hint="eastAsia" w:ascii="方正仿宋_GBK" w:hAnsi="方正仿宋_GBK" w:eastAsia="方正仿宋_GBK" w:cs="方正仿宋_GBK"/>
          <w:snapToGrid w:val="0"/>
          <w:color w:val="auto"/>
          <w:kern w:val="0"/>
        </w:rPr>
        <w:t>没有给出具体建议。</w:t>
      </w:r>
      <w:r>
        <w:rPr>
          <w:rFonts w:hint="eastAsia" w:ascii="方正仿宋_GBK" w:hAnsi="方正仿宋_GBK" w:eastAsia="方正仿宋_GBK" w:cs="方正仿宋_GBK"/>
          <w:bCs/>
          <w:snapToGrid w:val="0"/>
          <w:color w:val="auto"/>
        </w:rPr>
        <w:t>通过对</w:t>
      </w:r>
      <w:r>
        <w:rPr>
          <w:rFonts w:ascii="方正仿宋_GBK" w:hAnsi="方正仿宋_GBK" w:eastAsia="方正仿宋_GBK" w:cs="方正仿宋_GBK"/>
          <w:bCs/>
          <w:snapToGrid w:val="0"/>
          <w:color w:val="auto"/>
        </w:rPr>
        <w:t>北京市、</w:t>
      </w:r>
      <w:r>
        <w:rPr>
          <w:rFonts w:hint="eastAsia" w:ascii="方正仿宋_GBK" w:hAnsi="方正仿宋_GBK" w:eastAsia="方正仿宋_GBK" w:cs="方正仿宋_GBK"/>
          <w:bCs/>
          <w:snapToGrid w:val="0"/>
          <w:color w:val="auto"/>
        </w:rPr>
        <w:t>上海市</w:t>
      </w:r>
      <w:r>
        <w:rPr>
          <w:rFonts w:ascii="方正仿宋_GBK" w:hAnsi="方正仿宋_GBK" w:eastAsia="方正仿宋_GBK" w:cs="方正仿宋_GBK"/>
          <w:bCs/>
          <w:snapToGrid w:val="0"/>
          <w:color w:val="auto"/>
        </w:rPr>
        <w:t>、江苏省、浙江省、山东省、</w:t>
      </w:r>
      <w:r>
        <w:rPr>
          <w:rFonts w:hint="eastAsia" w:ascii="方正仿宋_GBK" w:hAnsi="方正仿宋_GBK" w:eastAsia="方正仿宋_GBK" w:cs="方正仿宋_GBK"/>
          <w:bCs/>
          <w:snapToGrid w:val="0"/>
          <w:color w:val="auto"/>
        </w:rPr>
        <w:t>河南</w:t>
      </w:r>
      <w:r>
        <w:rPr>
          <w:rFonts w:ascii="方正仿宋_GBK" w:hAnsi="方正仿宋_GBK" w:eastAsia="方正仿宋_GBK" w:cs="方正仿宋_GBK"/>
          <w:bCs/>
          <w:snapToGrid w:val="0"/>
          <w:color w:val="auto"/>
        </w:rPr>
        <w:t>省</w:t>
      </w:r>
      <w:r>
        <w:rPr>
          <w:rFonts w:hint="eastAsia" w:ascii="方正仿宋_GBK" w:hAnsi="方正仿宋_GBK" w:eastAsia="方正仿宋_GBK" w:cs="方正仿宋_GBK"/>
          <w:bCs/>
          <w:snapToGrid w:val="0"/>
          <w:color w:val="auto"/>
          <w:lang w:eastAsia="zh-CN"/>
        </w:rPr>
        <w:t>等省（市）</w:t>
      </w:r>
      <w:r>
        <w:rPr>
          <w:rFonts w:hint="eastAsia" w:ascii="方正仿宋_GBK" w:hAnsi="方正仿宋_GBK" w:eastAsia="方正仿宋_GBK" w:cs="方正仿宋_GBK"/>
          <w:bCs/>
          <w:snapToGrid w:val="0"/>
          <w:color w:val="auto"/>
        </w:rPr>
        <w:t>关于养老顾问服务标准化政策文件、地方标准进行汇总梳理分析，养老顾问服务的标准化</w:t>
      </w:r>
      <w:r>
        <w:rPr>
          <w:rFonts w:hint="eastAsia" w:ascii="方正仿宋_GBK" w:hAnsi="方正仿宋_GBK" w:eastAsia="方正仿宋_GBK" w:cs="方正仿宋_GBK"/>
          <w:snapToGrid w:val="0"/>
          <w:color w:val="auto"/>
        </w:rPr>
        <w:t>建设需要综合考虑多个因素</w:t>
      </w:r>
      <w:r>
        <w:rPr>
          <w:rFonts w:hint="eastAsia" w:ascii="方正仿宋_GBK" w:hAnsi="方正仿宋_GBK" w:eastAsia="方正仿宋_GBK" w:cs="方正仿宋_GBK"/>
          <w:snapToGrid w:val="0"/>
          <w:color w:val="auto"/>
          <w:lang w:eastAsia="zh-CN"/>
        </w:rPr>
        <w:t>。</w:t>
      </w:r>
      <w:r>
        <w:rPr>
          <w:rFonts w:hint="eastAsia" w:ascii="方正仿宋_GBK" w:hAnsi="方正仿宋_GBK" w:eastAsia="方正仿宋_GBK" w:cs="方正仿宋_GBK"/>
          <w:snapToGrid w:val="0"/>
          <w:color w:val="auto"/>
          <w:lang w:val="en-US" w:eastAsia="zh-CN"/>
        </w:rPr>
        <w:t>一是</w:t>
      </w:r>
      <w:r>
        <w:rPr>
          <w:rFonts w:hint="eastAsia" w:ascii="方正仿宋_GBK" w:hAnsi="方正仿宋_GBK" w:eastAsia="方正仿宋_GBK" w:cs="方正仿宋_GBK"/>
          <w:snapToGrid w:val="0"/>
          <w:color w:val="auto"/>
        </w:rPr>
        <w:t>设置顾问点</w:t>
      </w:r>
      <w:r>
        <w:rPr>
          <w:rFonts w:hint="eastAsia" w:ascii="方正仿宋_GBK" w:hAnsi="方正仿宋_GBK" w:eastAsia="方正仿宋_GBK" w:cs="方正仿宋_GBK"/>
          <w:snapToGrid w:val="0"/>
          <w:color w:val="auto"/>
          <w:lang w:eastAsia="zh-CN"/>
        </w:rPr>
        <w:t>，</w:t>
      </w:r>
      <w:r>
        <w:rPr>
          <w:rFonts w:hint="eastAsia" w:ascii="方正仿宋_GBK" w:hAnsi="方正仿宋_GBK" w:eastAsia="方正仿宋_GBK" w:cs="方正仿宋_GBK"/>
          <w:snapToGrid w:val="0"/>
          <w:color w:val="auto"/>
        </w:rPr>
        <w:t>站点应有统一的标识标志，顾问员应佩戴专用标志，有必要的硬件配置，同时应该明确并公示服务时间。</w:t>
      </w:r>
      <w:r>
        <w:rPr>
          <w:rFonts w:hint="eastAsia" w:ascii="方正仿宋_GBK" w:hAnsi="方正仿宋_GBK" w:eastAsia="方正仿宋_GBK" w:cs="方正仿宋_GBK"/>
          <w:snapToGrid w:val="0"/>
          <w:color w:val="auto"/>
          <w:lang w:val="en-US" w:eastAsia="zh-CN"/>
        </w:rPr>
        <w:t>二是</w:t>
      </w:r>
      <w:r>
        <w:rPr>
          <w:rFonts w:hint="eastAsia" w:ascii="方正仿宋_GBK" w:hAnsi="方正仿宋_GBK" w:eastAsia="方正仿宋_GBK" w:cs="方正仿宋_GBK"/>
          <w:snapToGrid w:val="0"/>
          <w:color w:val="auto"/>
        </w:rPr>
        <w:t>服务内容</w:t>
      </w:r>
      <w:r>
        <w:rPr>
          <w:rFonts w:hint="eastAsia" w:ascii="方正仿宋_GBK" w:hAnsi="方正仿宋_GBK" w:eastAsia="方正仿宋_GBK" w:cs="方正仿宋_GBK"/>
          <w:snapToGrid w:val="0"/>
          <w:color w:val="auto"/>
          <w:lang w:eastAsia="zh-CN"/>
        </w:rPr>
        <w:t>，主要</w:t>
      </w:r>
      <w:r>
        <w:rPr>
          <w:rFonts w:hint="eastAsia" w:ascii="方正仿宋_GBK" w:hAnsi="方正仿宋_GBK" w:eastAsia="方正仿宋_GBK" w:cs="方正仿宋_GBK"/>
          <w:snapToGrid w:val="0"/>
          <w:color w:val="auto"/>
        </w:rPr>
        <w:t>包括基本服务和拓展服务。基本服务主要涵盖</w:t>
      </w:r>
      <w:r>
        <w:rPr>
          <w:rFonts w:hint="eastAsia" w:ascii="方正仿宋_GBK" w:hAnsi="方正仿宋_GBK" w:eastAsia="方正仿宋_GBK" w:cs="方正仿宋_GBK"/>
          <w:snapToGrid w:val="0"/>
          <w:color w:val="auto"/>
          <w:lang w:eastAsia="zh-CN"/>
        </w:rPr>
        <w:t>老年人福利政策咨询</w:t>
      </w:r>
      <w:r>
        <w:rPr>
          <w:rFonts w:hint="eastAsia" w:ascii="方正仿宋_GBK" w:hAnsi="方正仿宋_GBK" w:eastAsia="方正仿宋_GBK" w:cs="方正仿宋_GBK"/>
          <w:snapToGrid w:val="0"/>
          <w:color w:val="auto"/>
        </w:rPr>
        <w:t>、养老服务资源链接等基础服务</w:t>
      </w:r>
      <w:r>
        <w:rPr>
          <w:rFonts w:hint="eastAsia" w:ascii="方正仿宋_GBK" w:hAnsi="方正仿宋_GBK" w:eastAsia="方正仿宋_GBK" w:cs="方正仿宋_GBK"/>
          <w:snapToGrid w:val="0"/>
          <w:color w:val="auto"/>
          <w:lang w:eastAsia="zh-CN"/>
        </w:rPr>
        <w:t>；</w:t>
      </w:r>
      <w:r>
        <w:rPr>
          <w:rFonts w:hint="eastAsia" w:ascii="方正仿宋_GBK" w:hAnsi="方正仿宋_GBK" w:eastAsia="方正仿宋_GBK" w:cs="方正仿宋_GBK"/>
          <w:snapToGrid w:val="0"/>
          <w:color w:val="auto"/>
        </w:rPr>
        <w:t>拓展服务则是针对老年人个性化需求提供定制化服务内容。</w:t>
      </w:r>
      <w:r>
        <w:rPr>
          <w:rFonts w:hint="eastAsia" w:ascii="方正仿宋_GBK" w:hAnsi="方正仿宋_GBK" w:eastAsia="方正仿宋_GBK" w:cs="方正仿宋_GBK"/>
          <w:snapToGrid w:val="0"/>
          <w:color w:val="auto"/>
          <w:lang w:val="en-US" w:eastAsia="zh-CN"/>
        </w:rPr>
        <w:t>三是</w:t>
      </w:r>
      <w:r>
        <w:rPr>
          <w:rFonts w:hint="eastAsia" w:ascii="方正仿宋_GBK" w:hAnsi="方正仿宋_GBK" w:eastAsia="方正仿宋_GBK" w:cs="方正仿宋_GBK"/>
          <w:snapToGrid w:val="0"/>
          <w:color w:val="auto"/>
        </w:rPr>
        <w:t>服务流程</w:t>
      </w:r>
      <w:r>
        <w:rPr>
          <w:rFonts w:hint="eastAsia" w:ascii="方正仿宋_GBK" w:hAnsi="方正仿宋_GBK" w:eastAsia="方正仿宋_GBK" w:cs="方正仿宋_GBK"/>
          <w:snapToGrid w:val="0"/>
          <w:color w:val="auto"/>
          <w:lang w:eastAsia="zh-CN"/>
        </w:rPr>
        <w:t>，</w:t>
      </w:r>
      <w:r>
        <w:rPr>
          <w:rFonts w:hint="eastAsia" w:ascii="方正仿宋_GBK" w:hAnsi="方正仿宋_GBK" w:eastAsia="方正仿宋_GBK" w:cs="方正仿宋_GBK"/>
          <w:snapToGrid w:val="0"/>
          <w:color w:val="auto"/>
        </w:rPr>
        <w:t>通过收集养老服务需求，提供个性化服务，并通过回访与信息反馈进行服务优化，最后整理服务记录归档。</w:t>
      </w:r>
      <w:r>
        <w:rPr>
          <w:rFonts w:hint="eastAsia" w:ascii="方正仿宋_GBK" w:hAnsi="方正仿宋_GBK" w:eastAsia="方正仿宋_GBK" w:cs="方正仿宋_GBK"/>
          <w:snapToGrid w:val="0"/>
          <w:color w:val="auto"/>
          <w:lang w:val="en-US" w:eastAsia="zh-CN"/>
        </w:rPr>
        <w:t>四是</w:t>
      </w:r>
      <w:r>
        <w:rPr>
          <w:rFonts w:hint="eastAsia" w:ascii="方正仿宋_GBK" w:hAnsi="方正仿宋_GBK" w:eastAsia="方正仿宋_GBK" w:cs="方正仿宋_GBK"/>
          <w:snapToGrid w:val="0"/>
          <w:color w:val="auto"/>
        </w:rPr>
        <w:t>人员培训</w:t>
      </w:r>
      <w:r>
        <w:rPr>
          <w:rFonts w:hint="eastAsia" w:ascii="方正仿宋_GBK" w:hAnsi="方正仿宋_GBK" w:eastAsia="方正仿宋_GBK" w:cs="方正仿宋_GBK"/>
          <w:snapToGrid w:val="0"/>
          <w:color w:val="auto"/>
          <w:lang w:eastAsia="zh-CN"/>
        </w:rPr>
        <w:t>，</w:t>
      </w:r>
      <w:r>
        <w:rPr>
          <w:rFonts w:hint="eastAsia" w:ascii="方正仿宋_GBK" w:hAnsi="方正仿宋_GBK" w:eastAsia="方正仿宋_GBK" w:cs="方正仿宋_GBK"/>
          <w:snapToGrid w:val="0"/>
          <w:color w:val="auto"/>
        </w:rPr>
        <w:t>上岗前接受培训并考核合格，并且在岗期间定期接受培训，不断更新知识技能。</w:t>
      </w:r>
      <w:r>
        <w:rPr>
          <w:rFonts w:hint="eastAsia" w:ascii="方正仿宋_GBK" w:hAnsi="方正仿宋_GBK" w:eastAsia="方正仿宋_GBK" w:cs="方正仿宋_GBK"/>
          <w:snapToGrid w:val="0"/>
          <w:color w:val="auto"/>
          <w:lang w:val="en-US" w:eastAsia="zh-CN"/>
        </w:rPr>
        <w:t>五是</w:t>
      </w:r>
      <w:r>
        <w:rPr>
          <w:rFonts w:hint="eastAsia" w:ascii="方正仿宋_GBK" w:hAnsi="方正仿宋_GBK" w:eastAsia="方正仿宋_GBK" w:cs="方正仿宋_GBK"/>
          <w:snapToGrid w:val="0"/>
          <w:color w:val="auto"/>
        </w:rPr>
        <w:t>服务评价与改进</w:t>
      </w:r>
      <w:r>
        <w:rPr>
          <w:rFonts w:hint="eastAsia" w:ascii="方正仿宋_GBK" w:hAnsi="方正仿宋_GBK" w:eastAsia="方正仿宋_GBK" w:cs="方正仿宋_GBK"/>
          <w:snapToGrid w:val="0"/>
          <w:color w:val="auto"/>
          <w:lang w:eastAsia="zh-CN"/>
        </w:rPr>
        <w:t>，</w:t>
      </w:r>
      <w:r>
        <w:rPr>
          <w:rFonts w:hint="eastAsia" w:ascii="方正仿宋_GBK" w:hAnsi="方正仿宋_GBK" w:eastAsia="方正仿宋_GBK" w:cs="方正仿宋_GBK"/>
          <w:snapToGrid w:val="0"/>
          <w:color w:val="auto"/>
        </w:rPr>
        <w:t>建立投诉反馈机制，畅通投诉渠道，并建立养老顾问人员考核与退出机制，进行服务质量实施评价。</w:t>
      </w:r>
    </w:p>
    <w:p w14:paraId="35B8D759">
      <w:pPr>
        <w:pStyle w:val="16"/>
        <w:rPr>
          <w:rFonts w:ascii="方正仿宋_GBK" w:hAnsi="方正仿宋_GBK" w:eastAsia="方正仿宋_GBK" w:cs="方正仿宋_GBK"/>
          <w:color w:val="auto"/>
        </w:rPr>
      </w:pPr>
      <w:r>
        <w:rPr>
          <w:rFonts w:hint="eastAsia" w:ascii="方正仿宋_GBK" w:hAnsi="方正仿宋_GBK" w:eastAsia="方正仿宋_GBK" w:cs="方正仿宋_GBK"/>
          <w:snapToGrid/>
          <w:color w:val="auto"/>
          <w:lang w:eastAsia="zh-CN"/>
        </w:rPr>
        <w:t>同时，</w:t>
      </w:r>
      <w:r>
        <w:rPr>
          <w:rFonts w:hint="eastAsia" w:ascii="方正仿宋_GBK" w:hAnsi="方正仿宋_GBK" w:eastAsia="方正仿宋_GBK" w:cs="方正仿宋_GBK"/>
          <w:color w:val="auto"/>
          <w:lang w:eastAsia="zh-CN"/>
        </w:rPr>
        <w:t>标准起草组根据标准的核心技术指标开展验证分析。面向来自民政部门、养老机构、居家社区养老服务机构等单位的工作人员</w:t>
      </w:r>
      <w:r>
        <w:rPr>
          <w:rFonts w:hint="eastAsia" w:ascii="方正仿宋_GBK" w:hAnsi="方正仿宋_GBK" w:eastAsia="方正仿宋_GBK" w:cs="方正仿宋_GBK"/>
          <w:color w:val="auto"/>
        </w:rPr>
        <w:t>开展问卷调查</w:t>
      </w:r>
      <w:r>
        <w:rPr>
          <w:rFonts w:hint="eastAsia" w:ascii="方正仿宋_GBK" w:hAnsi="方正仿宋_GBK" w:eastAsia="方正仿宋_GBK" w:cs="方正仿宋_GBK"/>
          <w:color w:val="auto"/>
          <w:lang w:eastAsia="zh-CN"/>
        </w:rPr>
        <w:t>。分别向</w:t>
      </w:r>
      <w:r>
        <w:rPr>
          <w:rFonts w:hint="eastAsia" w:ascii="方正仿宋_GBK" w:hAnsi="方正仿宋_GBK" w:eastAsia="方正仿宋_GBK" w:cs="方正仿宋_GBK"/>
          <w:color w:val="auto"/>
          <w:lang w:val="en-US" w:eastAsia="zh-CN"/>
        </w:rPr>
        <w:t>北京、河北、</w:t>
      </w:r>
      <w:r>
        <w:rPr>
          <w:rFonts w:hint="eastAsia" w:ascii="方正仿宋_GBK" w:hAnsi="方正仿宋_GBK" w:eastAsia="方正仿宋_GBK" w:cs="方正仿宋_GBK"/>
          <w:color w:val="auto"/>
        </w:rPr>
        <w:t>内蒙古、</w:t>
      </w:r>
      <w:r>
        <w:rPr>
          <w:rFonts w:hint="eastAsia" w:ascii="方正仿宋_GBK" w:hAnsi="方正仿宋_GBK" w:eastAsia="方正仿宋_GBK" w:cs="方正仿宋_GBK"/>
          <w:color w:val="auto"/>
          <w:lang w:eastAsia="zh-CN"/>
        </w:rPr>
        <w:t>辽宁、江苏、安徽、广东、海南、重庆、四川等</w:t>
      </w:r>
      <w:r>
        <w:rPr>
          <w:rFonts w:hint="eastAsia" w:ascii="方正仿宋_GBK" w:hAnsi="方正仿宋_GBK" w:eastAsia="方正仿宋_GBK" w:cs="方正仿宋_GBK"/>
          <w:color w:val="auto"/>
          <w:lang w:val="en-US" w:eastAsia="zh-CN"/>
        </w:rPr>
        <w:t>25个省份</w:t>
      </w:r>
      <w:r>
        <w:rPr>
          <w:rFonts w:hint="eastAsia" w:ascii="方正仿宋_GBK" w:hAnsi="方正仿宋_GBK" w:eastAsia="方正仿宋_GBK" w:cs="方正仿宋_GBK"/>
          <w:color w:val="auto"/>
          <w:lang w:eastAsia="zh-CN"/>
        </w:rPr>
        <w:t>发放调查问卷，</w:t>
      </w:r>
      <w:r>
        <w:rPr>
          <w:rFonts w:hint="eastAsia" w:ascii="方正仿宋_GBK" w:hAnsi="方正仿宋_GBK" w:eastAsia="方正仿宋_GBK" w:cs="方正仿宋_GBK"/>
          <w:color w:val="auto"/>
        </w:rPr>
        <w:t>共回收有效问卷</w:t>
      </w:r>
      <w:r>
        <w:rPr>
          <w:rFonts w:hint="eastAsia" w:ascii="方正仿宋_GBK" w:hAnsi="方正仿宋_GBK" w:eastAsia="方正仿宋_GBK" w:cs="方正仿宋_GBK"/>
          <w:color w:val="auto"/>
          <w:lang w:val="en-US" w:eastAsia="zh-CN"/>
        </w:rPr>
        <w:t>768</w:t>
      </w:r>
      <w:r>
        <w:rPr>
          <w:rFonts w:hint="eastAsia" w:ascii="方正仿宋_GBK" w:hAnsi="方正仿宋_GBK" w:eastAsia="方正仿宋_GBK" w:cs="方正仿宋_GBK"/>
          <w:color w:val="auto"/>
        </w:rPr>
        <w:t>份</w:t>
      </w:r>
      <w:r>
        <w:rPr>
          <w:rFonts w:hint="eastAsia" w:ascii="方正仿宋_GBK" w:hAnsi="方正仿宋_GBK" w:eastAsia="方正仿宋_GBK" w:cs="方正仿宋_GBK"/>
          <w:color w:val="auto"/>
          <w:lang w:eastAsia="zh-CN"/>
        </w:rPr>
        <w:t>。</w:t>
      </w:r>
      <w:r>
        <w:rPr>
          <w:rFonts w:hint="eastAsia" w:ascii="方正仿宋_GBK" w:hAnsi="方正仿宋_GBK" w:eastAsia="方正仿宋_GBK" w:cs="方正仿宋_GBK"/>
          <w:color w:val="auto"/>
        </w:rPr>
        <w:t>调研内容涵盖养老顾问服务</w:t>
      </w:r>
      <w:r>
        <w:rPr>
          <w:rFonts w:hint="eastAsia" w:ascii="方正仿宋_GBK" w:hAnsi="方正仿宋_GBK" w:eastAsia="方正仿宋_GBK" w:cs="方正仿宋_GBK"/>
          <w:color w:val="auto"/>
          <w:lang w:eastAsia="zh-CN"/>
        </w:rPr>
        <w:t>基本情况</w:t>
      </w:r>
      <w:r>
        <w:rPr>
          <w:rFonts w:hint="eastAsia" w:ascii="方正仿宋_GBK" w:hAnsi="方正仿宋_GBK" w:eastAsia="方正仿宋_GBK" w:cs="方正仿宋_GBK"/>
          <w:color w:val="auto"/>
        </w:rPr>
        <w:t>、核心服务内容认知、各环节服务要素认同等方面，为行业标准制定提供了</w:t>
      </w:r>
      <w:r>
        <w:rPr>
          <w:rFonts w:hint="eastAsia" w:ascii="方正仿宋_GBK" w:hAnsi="方正仿宋_GBK" w:eastAsia="方正仿宋_GBK" w:cs="方正仿宋_GBK"/>
          <w:color w:val="auto"/>
          <w:lang w:val="en-US" w:eastAsia="zh-CN"/>
        </w:rPr>
        <w:t>丰富</w:t>
      </w:r>
      <w:r>
        <w:rPr>
          <w:rFonts w:hint="eastAsia" w:ascii="方正仿宋_GBK" w:hAnsi="方正仿宋_GBK" w:eastAsia="方正仿宋_GBK" w:cs="方正仿宋_GBK"/>
          <w:color w:val="auto"/>
        </w:rPr>
        <w:t>的实践依据。通过数据资料分析等，本标准基本符合我国各地</w:t>
      </w:r>
      <w:r>
        <w:rPr>
          <w:rFonts w:hint="eastAsia" w:ascii="方正仿宋_GBK" w:hAnsi="方正仿宋_GBK" w:eastAsia="方正仿宋_GBK" w:cs="方正仿宋_GBK"/>
          <w:color w:val="auto"/>
          <w:lang w:eastAsia="zh-CN"/>
        </w:rPr>
        <w:t>养老顾问</w:t>
      </w:r>
      <w:r>
        <w:rPr>
          <w:rFonts w:hint="eastAsia" w:ascii="方正仿宋_GBK" w:hAnsi="方正仿宋_GBK" w:eastAsia="方正仿宋_GBK" w:cs="方正仿宋_GBK"/>
          <w:color w:val="auto"/>
        </w:rPr>
        <w:t>服务实际。具体验证情况如下：</w:t>
      </w:r>
    </w:p>
    <w:p w14:paraId="4813823F">
      <w:pPr>
        <w:pStyle w:val="16"/>
        <w:snapToGrid w:val="0"/>
        <w:ind w:firstLine="0"/>
        <w:rPr>
          <w:rFonts w:hint="eastAsia" w:ascii="方正仿宋_GBK" w:hAnsi="方正仿宋_GBK" w:eastAsia="方正仿宋_GBK" w:cs="方正仿宋_GBK"/>
          <w:snapToGrid w:val="0"/>
          <w:color w:val="auto"/>
          <w:lang w:val="en-US" w:eastAsia="zh-CN"/>
        </w:rPr>
      </w:pPr>
      <w:r>
        <w:rPr>
          <w:rFonts w:hint="eastAsia" w:ascii="方正仿宋_GBK" w:hAnsi="方正仿宋_GBK" w:eastAsia="方正仿宋_GBK" w:cs="方正仿宋_GBK"/>
          <w:snapToGrid w:val="0"/>
          <w:color w:val="auto"/>
          <w:lang w:val="en-US" w:eastAsia="zh-CN"/>
        </w:rPr>
        <w:t>1.开展养老顾问服务基本情况</w:t>
      </w:r>
    </w:p>
    <w:p w14:paraId="18B7E346">
      <w:pPr>
        <w:pStyle w:val="14"/>
        <w:snapToGrid w:val="0"/>
        <w:ind w:firstLine="0"/>
        <w:rPr>
          <w:rFonts w:hint="eastAsia" w:ascii="方正仿宋_GBK" w:hAnsi="方正仿宋_GBK" w:eastAsia="方正仿宋_GBK" w:cs="方正仿宋_GBK"/>
          <w:snapToGrid w:val="0"/>
          <w:color w:val="auto"/>
          <w:kern w:val="0"/>
          <w:lang w:eastAsia="zh-CN"/>
        </w:rPr>
      </w:pPr>
      <w:r>
        <w:rPr>
          <w:rFonts w:hint="eastAsia" w:ascii="方正仿宋_GBK" w:hAnsi="方正仿宋_GBK" w:eastAsia="方正仿宋_GBK" w:cs="方正仿宋_GBK"/>
          <w:snapToGrid w:val="0"/>
          <w:color w:val="auto"/>
          <w:kern w:val="0"/>
          <w:lang w:eastAsia="zh-CN"/>
        </w:rPr>
        <w:t>本次调研明确将养老顾问服务定义为：利用各类养老服务设施、机构和人员等资源，为老年人寻找养老服务提供便利、指导和支撑的便民服务。调研结果显示，85.81%的调研对象（659家）已开展此项服务，仅14.19%（109家）未开展，表明养老顾问服务已具备</w:t>
      </w:r>
      <w:r>
        <w:rPr>
          <w:rFonts w:hint="eastAsia" w:ascii="方正仿宋_GBK" w:hAnsi="方正仿宋_GBK" w:eastAsia="方正仿宋_GBK" w:cs="方正仿宋_GBK"/>
          <w:snapToGrid w:val="0"/>
          <w:color w:val="auto"/>
          <w:kern w:val="0"/>
          <w:lang w:val="en-US" w:eastAsia="zh-CN"/>
        </w:rPr>
        <w:t>较为丰富</w:t>
      </w:r>
      <w:r>
        <w:rPr>
          <w:rFonts w:hint="eastAsia" w:ascii="方正仿宋_GBK" w:hAnsi="方正仿宋_GBK" w:eastAsia="方正仿宋_GBK" w:cs="方正仿宋_GBK"/>
          <w:snapToGrid w:val="0"/>
          <w:color w:val="auto"/>
          <w:kern w:val="0"/>
          <w:lang w:eastAsia="zh-CN"/>
        </w:rPr>
        <w:t>的实践</w:t>
      </w:r>
      <w:r>
        <w:rPr>
          <w:rFonts w:hint="eastAsia" w:ascii="方正仿宋_GBK" w:hAnsi="方正仿宋_GBK" w:eastAsia="方正仿宋_GBK" w:cs="方正仿宋_GBK"/>
          <w:snapToGrid w:val="0"/>
          <w:color w:val="auto"/>
          <w:kern w:val="0"/>
          <w:lang w:val="en-US" w:eastAsia="zh-CN"/>
        </w:rPr>
        <w:t>经验</w:t>
      </w:r>
      <w:r>
        <w:rPr>
          <w:rFonts w:hint="eastAsia" w:ascii="方正仿宋_GBK" w:hAnsi="方正仿宋_GBK" w:eastAsia="方正仿宋_GBK" w:cs="方正仿宋_GBK"/>
          <w:snapToGrid w:val="0"/>
          <w:color w:val="auto"/>
          <w:kern w:val="0"/>
          <w:lang w:eastAsia="zh-CN"/>
        </w:rPr>
        <w:t>，行业对该服务的认可度较高，为行业标准制定奠定了良好的实践基础。</w:t>
      </w:r>
    </w:p>
    <w:p w14:paraId="1FC7CA91">
      <w:pPr>
        <w:pStyle w:val="14"/>
        <w:snapToGrid w:val="0"/>
        <w:ind w:firstLine="0"/>
        <w:rPr>
          <w:rFonts w:hint="eastAsia" w:ascii="方正仿宋_GBK" w:hAnsi="方正仿宋_GBK" w:eastAsia="方正仿宋_GBK" w:cs="方正仿宋_GBK"/>
          <w:snapToGrid w:val="0"/>
          <w:color w:val="auto"/>
          <w:kern w:val="0"/>
          <w:lang w:val="en-US" w:eastAsia="zh-CN"/>
        </w:rPr>
      </w:pPr>
      <w:r>
        <w:rPr>
          <w:rFonts w:hint="eastAsia" w:ascii="方正仿宋_GBK" w:hAnsi="方正仿宋_GBK" w:eastAsia="方正仿宋_GBK" w:cs="方正仿宋_GBK"/>
          <w:snapToGrid w:val="0"/>
          <w:color w:val="auto"/>
          <w:kern w:val="0"/>
          <w:lang w:val="en-US" w:eastAsia="zh-CN"/>
        </w:rPr>
        <w:t>2.对养老顾问服务核心内容认知情况</w:t>
      </w:r>
    </w:p>
    <w:p w14:paraId="7C1BC065">
      <w:pPr>
        <w:pStyle w:val="14"/>
        <w:snapToGrid w:val="0"/>
        <w:ind w:firstLine="0"/>
        <w:rPr>
          <w:rFonts w:hint="eastAsia" w:ascii="方正仿宋_GBK" w:hAnsi="方正仿宋_GBK" w:eastAsia="方正仿宋_GBK" w:cs="方正仿宋_GBK"/>
          <w:snapToGrid w:val="0"/>
          <w:color w:val="auto"/>
          <w:kern w:val="0"/>
        </w:rPr>
      </w:pPr>
      <w:r>
        <w:rPr>
          <w:rFonts w:hint="eastAsia" w:ascii="方正仿宋_GBK" w:hAnsi="方正仿宋_GBK" w:eastAsia="方正仿宋_GBK" w:cs="方正仿宋_GBK"/>
          <w:snapToGrid w:val="0"/>
          <w:color w:val="auto"/>
          <w:kern w:val="0"/>
        </w:rPr>
        <w:t>调研对象对</w:t>
      </w:r>
      <w:r>
        <w:rPr>
          <w:rFonts w:hint="eastAsia" w:ascii="方正仿宋_GBK" w:hAnsi="方正仿宋_GBK" w:eastAsia="方正仿宋_GBK" w:cs="方正仿宋_GBK"/>
          <w:snapToGrid w:val="0"/>
          <w:color w:val="auto"/>
          <w:kern w:val="0"/>
          <w:lang w:eastAsia="zh-CN"/>
        </w:rPr>
        <w:t>标准中所列出的</w:t>
      </w:r>
      <w:r>
        <w:rPr>
          <w:rFonts w:hint="eastAsia" w:ascii="方正仿宋_GBK" w:hAnsi="方正仿宋_GBK" w:eastAsia="方正仿宋_GBK" w:cs="方正仿宋_GBK"/>
          <w:snapToGrid w:val="0"/>
          <w:color w:val="auto"/>
          <w:kern w:val="0"/>
        </w:rPr>
        <w:t>养老顾问服务核心内容的认同度</w:t>
      </w:r>
      <w:r>
        <w:rPr>
          <w:rFonts w:hint="eastAsia" w:ascii="方正仿宋_GBK" w:hAnsi="方正仿宋_GBK" w:eastAsia="方正仿宋_GBK" w:cs="方正仿宋_GBK"/>
          <w:snapToGrid w:val="0"/>
          <w:color w:val="auto"/>
          <w:kern w:val="0"/>
          <w:lang w:eastAsia="zh-CN"/>
        </w:rPr>
        <w:t>较高</w:t>
      </w:r>
      <w:r>
        <w:rPr>
          <w:rFonts w:hint="eastAsia" w:ascii="方正仿宋_GBK" w:hAnsi="方正仿宋_GBK" w:eastAsia="方正仿宋_GBK" w:cs="方正仿宋_GBK"/>
          <w:snapToGrid w:val="0"/>
          <w:color w:val="auto"/>
          <w:kern w:val="0"/>
        </w:rPr>
        <w:t>，其中个性化照护服务方案制定认同度最高（89.32%）</w:t>
      </w:r>
      <w:r>
        <w:rPr>
          <w:rFonts w:hint="eastAsia" w:ascii="方正仿宋_GBK" w:hAnsi="方正仿宋_GBK" w:eastAsia="方正仿宋_GBK" w:cs="方正仿宋_GBK"/>
          <w:snapToGrid w:val="0"/>
          <w:color w:val="auto"/>
          <w:kern w:val="0"/>
          <w:lang w:eastAsia="zh-CN"/>
        </w:rPr>
        <w:t>，</w:t>
      </w:r>
      <w:r>
        <w:rPr>
          <w:rFonts w:hint="eastAsia" w:ascii="方正仿宋_GBK" w:hAnsi="方正仿宋_GBK" w:eastAsia="方正仿宋_GBK" w:cs="方正仿宋_GBK"/>
          <w:snapToGrid w:val="0"/>
          <w:color w:val="auto"/>
          <w:kern w:val="0"/>
          <w:lang w:val="en-US" w:eastAsia="zh-CN"/>
        </w:rPr>
        <w:t>其余分别为</w:t>
      </w:r>
      <w:r>
        <w:rPr>
          <w:rFonts w:hint="eastAsia" w:ascii="方正仿宋_GBK" w:hAnsi="方正仿宋_GBK" w:eastAsia="方正仿宋_GBK" w:cs="方正仿宋_GBK"/>
          <w:snapToGrid w:val="0"/>
          <w:color w:val="auto"/>
          <w:kern w:val="0"/>
        </w:rPr>
        <w:t>养老服务资源对接（81.51%）</w:t>
      </w:r>
      <w:r>
        <w:rPr>
          <w:rFonts w:hint="eastAsia" w:ascii="方正仿宋_GBK" w:hAnsi="方正仿宋_GBK" w:eastAsia="方正仿宋_GBK" w:cs="方正仿宋_GBK"/>
          <w:snapToGrid w:val="0"/>
          <w:color w:val="auto"/>
          <w:kern w:val="0"/>
          <w:lang w:eastAsia="zh-CN"/>
        </w:rPr>
        <w:t>、</w:t>
      </w:r>
      <w:r>
        <w:rPr>
          <w:rFonts w:hint="eastAsia" w:ascii="方正仿宋_GBK" w:hAnsi="方正仿宋_GBK" w:eastAsia="方正仿宋_GBK" w:cs="方正仿宋_GBK"/>
          <w:snapToGrid w:val="0"/>
          <w:color w:val="auto"/>
          <w:kern w:val="0"/>
        </w:rPr>
        <w:t>养老政策与信息咨询（80.08%）、养老规划指导（70.18%）。整体来看，行业对养老顾问服务的核心内容认知高度统一，为标准中明确服务核心范畴提供了共识依据。</w:t>
      </w:r>
    </w:p>
    <w:p w14:paraId="54EE280F">
      <w:pPr>
        <w:pStyle w:val="14"/>
        <w:snapToGrid w:val="0"/>
        <w:ind w:firstLine="0"/>
        <w:rPr>
          <w:rFonts w:hint="eastAsia" w:ascii="方正仿宋_GBK" w:hAnsi="方正仿宋_GBK" w:eastAsia="方正仿宋_GBK" w:cs="方正仿宋_GBK"/>
          <w:snapToGrid w:val="0"/>
          <w:color w:val="auto"/>
          <w:kern w:val="0"/>
          <w:lang w:val="en-US" w:eastAsia="zh-CN"/>
        </w:rPr>
      </w:pPr>
      <w:r>
        <w:rPr>
          <w:rFonts w:hint="eastAsia" w:ascii="方正仿宋_GBK" w:hAnsi="方正仿宋_GBK" w:eastAsia="方正仿宋_GBK" w:cs="方正仿宋_GBK"/>
          <w:snapToGrid w:val="0"/>
          <w:color w:val="auto"/>
          <w:kern w:val="0"/>
          <w:lang w:val="en-US" w:eastAsia="zh-CN"/>
        </w:rPr>
        <w:t>3.</w:t>
      </w:r>
      <w:r>
        <w:rPr>
          <w:rFonts w:hint="eastAsia" w:ascii="方正仿宋_GBK" w:hAnsi="方正仿宋_GBK" w:eastAsia="方正仿宋_GBK" w:cs="方正仿宋_GBK"/>
          <w:color w:val="auto"/>
        </w:rPr>
        <w:t>各环节服务要素认同</w:t>
      </w:r>
      <w:r>
        <w:rPr>
          <w:rFonts w:hint="eastAsia" w:ascii="方正仿宋_GBK" w:hAnsi="方正仿宋_GBK" w:eastAsia="方正仿宋_GBK" w:cs="方正仿宋_GBK"/>
          <w:color w:val="auto"/>
          <w:lang w:eastAsia="zh-CN"/>
        </w:rPr>
        <w:t>情况</w:t>
      </w:r>
    </w:p>
    <w:p w14:paraId="1E7E5591">
      <w:pPr>
        <w:pStyle w:val="14"/>
        <w:snapToGrid w:val="0"/>
        <w:ind w:firstLine="0"/>
        <w:rPr>
          <w:rFonts w:hint="eastAsia" w:ascii="方正仿宋_GBK" w:hAnsi="方正仿宋_GBK" w:eastAsia="方正仿宋_GBK" w:cs="方正仿宋_GBK"/>
          <w:snapToGrid w:val="0"/>
          <w:color w:val="auto"/>
          <w:kern w:val="0"/>
        </w:rPr>
      </w:pPr>
      <w:r>
        <w:rPr>
          <w:rFonts w:hint="eastAsia" w:ascii="方正仿宋_GBK" w:hAnsi="方正仿宋_GBK" w:eastAsia="方正仿宋_GBK" w:cs="方正仿宋_GBK"/>
          <w:snapToGrid w:val="0"/>
          <w:color w:val="auto"/>
          <w:kern w:val="0"/>
          <w:lang w:eastAsia="zh-CN"/>
        </w:rPr>
        <w:t>在</w:t>
      </w:r>
      <w:r>
        <w:rPr>
          <w:rFonts w:hint="eastAsia" w:ascii="方正仿宋_GBK" w:hAnsi="方正仿宋_GBK" w:eastAsia="方正仿宋_GBK" w:cs="方正仿宋_GBK"/>
          <w:snapToGrid w:val="0"/>
          <w:color w:val="auto"/>
          <w:kern w:val="0"/>
        </w:rPr>
        <w:t>养老政策与信息咨询</w:t>
      </w:r>
      <w:r>
        <w:rPr>
          <w:rFonts w:hint="eastAsia" w:ascii="方正仿宋_GBK" w:hAnsi="方正仿宋_GBK" w:eastAsia="方正仿宋_GBK" w:cs="方正仿宋_GBK"/>
          <w:snapToGrid w:val="0"/>
          <w:color w:val="auto"/>
          <w:kern w:val="0"/>
          <w:lang w:eastAsia="zh-CN"/>
        </w:rPr>
        <w:t>方面</w:t>
      </w:r>
      <w:r>
        <w:rPr>
          <w:rFonts w:hint="eastAsia" w:ascii="方正仿宋_GBK" w:hAnsi="方正仿宋_GBK" w:eastAsia="方正仿宋_GBK" w:cs="方正仿宋_GBK"/>
          <w:snapToGrid w:val="0"/>
          <w:color w:val="auto"/>
          <w:kern w:val="0"/>
        </w:rPr>
        <w:t>，高龄津贴、护理补贴等各类补贴政策咨询（90.89%）认同度居首，是政策咨询的核心内容；针对特殊困难老年人的专项补贴协助申请（80.34%）、医疗保险相关政策咨询（78.39%）认同度较高</w:t>
      </w:r>
      <w:r>
        <w:rPr>
          <w:rFonts w:hint="eastAsia" w:ascii="方正仿宋_GBK" w:hAnsi="方正仿宋_GBK" w:eastAsia="方正仿宋_GBK" w:cs="方正仿宋_GBK"/>
          <w:snapToGrid w:val="0"/>
          <w:color w:val="auto"/>
          <w:kern w:val="0"/>
          <w:lang w:eastAsia="zh-CN"/>
        </w:rPr>
        <w:t>。</w:t>
      </w:r>
      <w:r>
        <w:rPr>
          <w:rFonts w:hint="eastAsia" w:ascii="方正仿宋_GBK" w:hAnsi="方正仿宋_GBK" w:eastAsia="方正仿宋_GBK" w:cs="方正仿宋_GBK"/>
          <w:snapToGrid w:val="0"/>
          <w:color w:val="auto"/>
          <w:kern w:val="0"/>
        </w:rPr>
        <w:t>反映出养老顾问在政策咨询中需重点聚焦落地性强的补贴政策解读与协助。</w:t>
      </w:r>
    </w:p>
    <w:p w14:paraId="6E4E3163">
      <w:pPr>
        <w:pStyle w:val="14"/>
        <w:snapToGrid w:val="0"/>
        <w:ind w:firstLine="0"/>
        <w:rPr>
          <w:rFonts w:hint="eastAsia" w:ascii="方正仿宋_GBK" w:hAnsi="方正仿宋_GBK" w:eastAsia="方正仿宋_GBK" w:cs="方正仿宋_GBK"/>
          <w:snapToGrid w:val="0"/>
          <w:color w:val="auto"/>
          <w:kern w:val="0"/>
        </w:rPr>
      </w:pPr>
      <w:r>
        <w:rPr>
          <w:rFonts w:hint="eastAsia" w:ascii="方正仿宋_GBK" w:hAnsi="方正仿宋_GBK" w:eastAsia="方正仿宋_GBK" w:cs="方正仿宋_GBK"/>
          <w:snapToGrid w:val="0"/>
          <w:color w:val="auto"/>
          <w:kern w:val="0"/>
          <w:lang w:eastAsia="zh-CN"/>
        </w:rPr>
        <w:t>在</w:t>
      </w:r>
      <w:r>
        <w:rPr>
          <w:rFonts w:hint="eastAsia" w:ascii="方正仿宋_GBK" w:hAnsi="方正仿宋_GBK" w:eastAsia="方正仿宋_GBK" w:cs="方正仿宋_GBK"/>
          <w:snapToGrid w:val="0"/>
          <w:color w:val="auto"/>
          <w:kern w:val="0"/>
        </w:rPr>
        <w:t>养老服务资源对接方面，养老机构介绍与协助预约（89.71%）和社区养老服务资源对接（84.24%）认同度最高，是资源对接的核心环节；居家上门服务推介（76.82%）、专项服务资源对接（69.01%）认同度次之。该特征体现了养老顾问服务在资源对接中，重点围绕主流养老服务场景开展工作。</w:t>
      </w:r>
    </w:p>
    <w:p w14:paraId="044C3B90">
      <w:pPr>
        <w:pStyle w:val="14"/>
        <w:snapToGrid w:val="0"/>
        <w:ind w:firstLine="0"/>
        <w:rPr>
          <w:rFonts w:hint="eastAsia" w:ascii="方正仿宋_GBK" w:hAnsi="方正仿宋_GBK" w:eastAsia="方正仿宋_GBK" w:cs="方正仿宋_GBK"/>
          <w:snapToGrid w:val="0"/>
          <w:color w:val="auto"/>
          <w:kern w:val="0"/>
        </w:rPr>
      </w:pPr>
      <w:r>
        <w:rPr>
          <w:rFonts w:hint="eastAsia" w:ascii="方正仿宋_GBK" w:hAnsi="方正仿宋_GBK" w:eastAsia="方正仿宋_GBK" w:cs="方正仿宋_GBK"/>
          <w:snapToGrid w:val="0"/>
          <w:color w:val="auto"/>
          <w:kern w:val="0"/>
          <w:lang w:val="en-US" w:eastAsia="zh-CN"/>
        </w:rPr>
        <w:t>在</w:t>
      </w:r>
      <w:r>
        <w:rPr>
          <w:rFonts w:hint="eastAsia" w:ascii="方正仿宋_GBK" w:hAnsi="方正仿宋_GBK" w:eastAsia="方正仿宋_GBK" w:cs="方正仿宋_GBK"/>
          <w:snapToGrid w:val="0"/>
          <w:color w:val="auto"/>
          <w:kern w:val="0"/>
        </w:rPr>
        <w:t>个性化照护服务方案</w:t>
      </w:r>
      <w:r>
        <w:rPr>
          <w:rFonts w:hint="eastAsia" w:ascii="方正仿宋_GBK" w:hAnsi="方正仿宋_GBK" w:eastAsia="方正仿宋_GBK" w:cs="方正仿宋_GBK"/>
          <w:snapToGrid w:val="0"/>
          <w:color w:val="auto"/>
          <w:kern w:val="0"/>
          <w:lang w:val="en-US" w:eastAsia="zh-CN"/>
        </w:rPr>
        <w:t>制定中的</w:t>
      </w:r>
      <w:r>
        <w:rPr>
          <w:rFonts w:hint="eastAsia" w:ascii="方正仿宋_GBK" w:hAnsi="方正仿宋_GBK" w:eastAsia="方正仿宋_GBK" w:cs="方正仿宋_GBK"/>
          <w:snapToGrid w:val="0"/>
          <w:color w:val="auto"/>
          <w:kern w:val="0"/>
        </w:rPr>
        <w:t>老年人需求评估</w:t>
      </w:r>
      <w:r>
        <w:rPr>
          <w:rFonts w:hint="eastAsia" w:ascii="方正仿宋_GBK" w:hAnsi="方正仿宋_GBK" w:eastAsia="方正仿宋_GBK" w:cs="方正仿宋_GBK"/>
          <w:snapToGrid w:val="0"/>
          <w:color w:val="auto"/>
          <w:kern w:val="0"/>
          <w:lang w:eastAsia="zh-CN"/>
        </w:rPr>
        <w:t>方面，</w:t>
      </w:r>
      <w:r>
        <w:rPr>
          <w:rFonts w:hint="eastAsia" w:ascii="方正仿宋_GBK" w:hAnsi="方正仿宋_GBK" w:eastAsia="方正仿宋_GBK" w:cs="方正仿宋_GBK"/>
          <w:snapToGrid w:val="0"/>
          <w:color w:val="auto"/>
          <w:kern w:val="0"/>
        </w:rPr>
        <w:t>调研对象对健康状况评估（91.15%）和老年人能力评估（90.36%）</w:t>
      </w:r>
      <w:r>
        <w:rPr>
          <w:rFonts w:hint="eastAsia" w:ascii="方正仿宋_GBK" w:hAnsi="方正仿宋_GBK" w:eastAsia="方正仿宋_GBK" w:cs="方正仿宋_GBK"/>
          <w:snapToGrid w:val="0"/>
          <w:color w:val="auto"/>
          <w:kern w:val="0"/>
          <w:lang w:val="en-US" w:eastAsia="zh-CN"/>
        </w:rPr>
        <w:t>的</w:t>
      </w:r>
      <w:r>
        <w:rPr>
          <w:rFonts w:hint="eastAsia" w:ascii="方正仿宋_GBK" w:hAnsi="方正仿宋_GBK" w:eastAsia="方正仿宋_GBK" w:cs="方正仿宋_GBK"/>
          <w:snapToGrid w:val="0"/>
          <w:color w:val="auto"/>
          <w:kern w:val="0"/>
        </w:rPr>
        <w:t>认同度超90%，成为需求评估的核心内容；认知障碍评估（81.90%）、心理与社会需求评估（78.65%）认同度处于第二梯队；生活环境适老化评估（69.53%）、服务风险评估（67.71%）、经济状况评估（55.21%）认同度</w:t>
      </w:r>
      <w:r>
        <w:rPr>
          <w:rFonts w:hint="eastAsia" w:ascii="方正仿宋_GBK" w:hAnsi="方正仿宋_GBK" w:eastAsia="方正仿宋_GBK" w:cs="方正仿宋_GBK"/>
          <w:snapToGrid w:val="0"/>
          <w:color w:val="auto"/>
          <w:kern w:val="0"/>
          <w:lang w:eastAsia="zh-CN"/>
        </w:rPr>
        <w:t>均超</w:t>
      </w:r>
      <w:r>
        <w:rPr>
          <w:rFonts w:hint="eastAsia" w:ascii="方正仿宋_GBK" w:hAnsi="方正仿宋_GBK" w:eastAsia="方正仿宋_GBK" w:cs="方正仿宋_GBK"/>
          <w:snapToGrid w:val="0"/>
          <w:color w:val="auto"/>
          <w:kern w:val="0"/>
          <w:lang w:val="en-US" w:eastAsia="zh-CN"/>
        </w:rPr>
        <w:t>50%</w:t>
      </w:r>
      <w:r>
        <w:rPr>
          <w:rFonts w:hint="eastAsia" w:ascii="方正仿宋_GBK" w:hAnsi="方正仿宋_GBK" w:eastAsia="方正仿宋_GBK" w:cs="方正仿宋_GBK"/>
          <w:snapToGrid w:val="0"/>
          <w:color w:val="auto"/>
          <w:kern w:val="0"/>
        </w:rPr>
        <w:t>。行业普遍认为生理层面的评估是养老顾问开展服务的基础。</w:t>
      </w:r>
    </w:p>
    <w:p w14:paraId="0DFF8656">
      <w:pPr>
        <w:pStyle w:val="14"/>
        <w:snapToGrid w:val="0"/>
        <w:ind w:firstLine="0"/>
        <w:rPr>
          <w:rFonts w:hint="eastAsia" w:ascii="方正仿宋_GBK" w:hAnsi="方正仿宋_GBK" w:eastAsia="方正仿宋_GBK" w:cs="方正仿宋_GBK"/>
          <w:snapToGrid w:val="0"/>
          <w:color w:val="auto"/>
          <w:kern w:val="0"/>
        </w:rPr>
      </w:pPr>
      <w:r>
        <w:rPr>
          <w:rFonts w:hint="eastAsia" w:ascii="方正仿宋_GBK" w:hAnsi="方正仿宋_GBK" w:eastAsia="方正仿宋_GBK" w:cs="方正仿宋_GBK"/>
          <w:snapToGrid w:val="0"/>
          <w:color w:val="auto"/>
          <w:kern w:val="0"/>
          <w:lang w:eastAsia="zh-CN"/>
        </w:rPr>
        <w:t>在</w:t>
      </w:r>
      <w:r>
        <w:rPr>
          <w:rFonts w:hint="eastAsia" w:ascii="方正仿宋_GBK" w:hAnsi="方正仿宋_GBK" w:eastAsia="方正仿宋_GBK" w:cs="方正仿宋_GBK"/>
          <w:snapToGrid w:val="0"/>
          <w:color w:val="auto"/>
          <w:kern w:val="0"/>
        </w:rPr>
        <w:t>养老规划指导方面</w:t>
      </w:r>
      <w:r>
        <w:rPr>
          <w:rFonts w:hint="eastAsia" w:ascii="方正仿宋_GBK" w:hAnsi="方正仿宋_GBK" w:eastAsia="方正仿宋_GBK" w:cs="方正仿宋_GBK"/>
          <w:snapToGrid w:val="0"/>
          <w:color w:val="auto"/>
          <w:kern w:val="0"/>
          <w:lang w:eastAsia="zh-CN"/>
        </w:rPr>
        <w:t>，</w:t>
      </w:r>
      <w:r>
        <w:rPr>
          <w:rFonts w:hint="eastAsia" w:ascii="方正仿宋_GBK" w:hAnsi="方正仿宋_GBK" w:eastAsia="方正仿宋_GBK" w:cs="方正仿宋_GBK"/>
          <w:snapToGrid w:val="0"/>
          <w:color w:val="auto"/>
          <w:kern w:val="0"/>
        </w:rPr>
        <w:t>突发情况应急预案（87.89%）认同度</w:t>
      </w:r>
      <w:r>
        <w:rPr>
          <w:rFonts w:hint="eastAsia" w:ascii="方正仿宋_GBK" w:hAnsi="方正仿宋_GBK" w:eastAsia="方正仿宋_GBK" w:cs="方正仿宋_GBK"/>
          <w:snapToGrid w:val="0"/>
          <w:color w:val="auto"/>
          <w:kern w:val="0"/>
          <w:lang w:eastAsia="zh-CN"/>
        </w:rPr>
        <w:t>最高，</w:t>
      </w:r>
      <w:r>
        <w:rPr>
          <w:rFonts w:hint="eastAsia" w:ascii="方正仿宋_GBK" w:hAnsi="方正仿宋_GBK" w:eastAsia="方正仿宋_GBK" w:cs="方正仿宋_GBK"/>
          <w:snapToGrid w:val="0"/>
          <w:color w:val="auto"/>
          <w:kern w:val="0"/>
        </w:rPr>
        <w:t>家庭与专业服务平衡（84.77%）、跨专业团队养老规划（83.46%）认同度较高</w:t>
      </w:r>
      <w:r>
        <w:rPr>
          <w:rFonts w:hint="eastAsia" w:ascii="方正仿宋_GBK" w:hAnsi="方正仿宋_GBK" w:eastAsia="方正仿宋_GBK" w:cs="方正仿宋_GBK"/>
          <w:snapToGrid w:val="0"/>
          <w:color w:val="auto"/>
          <w:kern w:val="0"/>
          <w:lang w:eastAsia="zh-CN"/>
        </w:rPr>
        <w:t>。反映了</w:t>
      </w:r>
      <w:r>
        <w:rPr>
          <w:rFonts w:hint="eastAsia" w:ascii="方正仿宋_GBK" w:hAnsi="方正仿宋_GBK" w:eastAsia="方正仿宋_GBK" w:cs="方正仿宋_GBK"/>
          <w:snapToGrid w:val="0"/>
          <w:color w:val="auto"/>
          <w:kern w:val="0"/>
        </w:rPr>
        <w:t>行业普遍认为养老规划指导需兼顾应急性、协同性与专业性，既要针对老年人突发疾病、家庭变故等意外情况制定完善的应对方案，也要协助老年人与家属协商平衡家庭照护支持与专业养老服务的需求，同时联合多领域专业人员，为老年人制定从退休到临终的全周期、个性化养老服务规划。</w:t>
      </w:r>
    </w:p>
    <w:p w14:paraId="412C296A">
      <w:pPr>
        <w:pStyle w:val="16"/>
        <w:snapToGrid w:val="0"/>
        <w:ind w:firstLine="0"/>
        <w:rPr>
          <w:rFonts w:ascii="方正楷体_GBK" w:hAnsi="方正楷体_GBK" w:eastAsia="方正楷体_GBK" w:cs="方正楷体_GBK"/>
          <w:bCs/>
          <w:snapToGrid w:val="0"/>
          <w:color w:val="auto"/>
        </w:rPr>
      </w:pPr>
      <w:r>
        <w:rPr>
          <w:rFonts w:hint="eastAsia" w:ascii="方正楷体_GBK" w:hAnsi="方正楷体_GBK" w:eastAsia="方正楷体_GBK" w:cs="方正楷体_GBK"/>
          <w:bCs/>
          <w:snapToGrid w:val="0"/>
          <w:color w:val="auto"/>
        </w:rPr>
        <w:t>（二）预期效益分析</w:t>
      </w:r>
    </w:p>
    <w:p w14:paraId="406F3D61">
      <w:pPr>
        <w:pStyle w:val="16"/>
        <w:adjustRightInd w:val="0"/>
        <w:snapToGrid w:val="0"/>
        <w:ind w:firstLine="0"/>
        <w:rPr>
          <w:rFonts w:ascii="方正仿宋_GBK" w:hAnsi="方正仿宋_GBK" w:eastAsia="方正仿宋_GBK" w:cs="方正仿宋_GBK"/>
          <w:snapToGrid w:val="0"/>
          <w:color w:val="auto"/>
        </w:rPr>
      </w:pPr>
      <w:bookmarkStart w:id="29" w:name="_Toc167721113"/>
      <w:r>
        <w:rPr>
          <w:rFonts w:hint="eastAsia" w:ascii="方正仿宋_GBK" w:hAnsi="方正仿宋_GBK" w:eastAsia="方正仿宋_GBK" w:cs="方正仿宋_GBK"/>
          <w:snapToGrid w:val="0"/>
          <w:color w:val="auto"/>
          <w:lang w:eastAsia="zh-CN"/>
        </w:rPr>
        <w:t>1.</w:t>
      </w:r>
      <w:r>
        <w:rPr>
          <w:rFonts w:hint="eastAsia" w:ascii="方正仿宋_GBK" w:hAnsi="方正仿宋_GBK" w:eastAsia="方正仿宋_GBK" w:cs="方正仿宋_GBK"/>
          <w:snapToGrid w:val="0"/>
          <w:color w:val="auto"/>
        </w:rPr>
        <w:t>预期经济效益</w:t>
      </w:r>
    </w:p>
    <w:p w14:paraId="4A779F22">
      <w:pPr>
        <w:pStyle w:val="16"/>
        <w:adjustRightInd w:val="0"/>
        <w:snapToGrid w:val="0"/>
        <w:ind w:firstLine="0"/>
        <w:rPr>
          <w:rFonts w:ascii="方正仿宋_GBK" w:hAnsi="方正仿宋_GBK" w:eastAsia="方正仿宋_GBK" w:cs="方正仿宋_GBK"/>
          <w:snapToGrid w:val="0"/>
          <w:color w:val="auto"/>
        </w:rPr>
      </w:pPr>
      <w:r>
        <w:rPr>
          <w:rFonts w:hint="eastAsia" w:ascii="方正仿宋_GBK" w:hAnsi="方正仿宋_GBK" w:eastAsia="方正仿宋_GBK" w:cs="方正仿宋_GBK"/>
          <w:snapToGrid w:val="0"/>
          <w:color w:val="auto"/>
        </w:rPr>
        <w:t>（1）降低养老成本</w:t>
      </w:r>
    </w:p>
    <w:p w14:paraId="5405442C">
      <w:pPr>
        <w:pStyle w:val="16"/>
        <w:adjustRightInd w:val="0"/>
        <w:snapToGrid w:val="0"/>
        <w:ind w:firstLine="0"/>
        <w:rPr>
          <w:rFonts w:ascii="方正仿宋_GBK" w:hAnsi="方正仿宋_GBK" w:eastAsia="方正仿宋_GBK" w:cs="方正仿宋_GBK"/>
          <w:snapToGrid w:val="0"/>
          <w:color w:val="auto"/>
        </w:rPr>
      </w:pPr>
      <w:r>
        <w:rPr>
          <w:rFonts w:hint="eastAsia" w:ascii="方正仿宋_GBK" w:hAnsi="方正仿宋_GBK" w:eastAsia="方正仿宋_GBK" w:cs="方正仿宋_GBK"/>
          <w:snapToGrid w:val="0"/>
          <w:color w:val="auto"/>
        </w:rPr>
        <w:t>养老顾问服务有助于老年人及其家庭获取全面且精准的养老服务信息，包括各类养老服务机构的收费标准、服务项目，以及居家养老服务项目的价格明细等。这有助于他们做出更具性价比的养老决策，避免因信息不对称而选择高价低质的服务，从而直接降低养老经济支出。</w:t>
      </w:r>
    </w:p>
    <w:p w14:paraId="29D6DC58">
      <w:pPr>
        <w:pStyle w:val="16"/>
        <w:adjustRightInd w:val="0"/>
        <w:snapToGrid w:val="0"/>
        <w:ind w:firstLine="0"/>
        <w:rPr>
          <w:rFonts w:ascii="方正仿宋_GBK" w:hAnsi="方正仿宋_GBK" w:eastAsia="方正仿宋_GBK" w:cs="方正仿宋_GBK"/>
          <w:snapToGrid w:val="0"/>
          <w:color w:val="auto"/>
        </w:rPr>
      </w:pPr>
      <w:r>
        <w:rPr>
          <w:rFonts w:hint="eastAsia" w:ascii="方正仿宋_GBK" w:hAnsi="方正仿宋_GBK" w:eastAsia="方正仿宋_GBK" w:cs="方正仿宋_GBK"/>
          <w:snapToGrid w:val="0"/>
          <w:color w:val="auto"/>
        </w:rPr>
        <w:t>（2）促进养老产业资源优化配置</w:t>
      </w:r>
    </w:p>
    <w:p w14:paraId="58D635A8">
      <w:pPr>
        <w:pStyle w:val="16"/>
        <w:adjustRightInd w:val="0"/>
        <w:snapToGrid w:val="0"/>
        <w:ind w:firstLine="0"/>
        <w:rPr>
          <w:rFonts w:ascii="方正仿宋_GBK" w:hAnsi="方正仿宋_GBK" w:eastAsia="方正仿宋_GBK" w:cs="方正仿宋_GBK"/>
          <w:snapToGrid w:val="0"/>
          <w:color w:val="auto"/>
        </w:rPr>
      </w:pPr>
      <w:r>
        <w:rPr>
          <w:rFonts w:hint="eastAsia" w:ascii="方正仿宋_GBK" w:hAnsi="方正仿宋_GBK" w:eastAsia="方正仿宋_GBK" w:cs="方正仿宋_GBK"/>
          <w:snapToGrid w:val="0"/>
          <w:color w:val="auto"/>
        </w:rPr>
        <w:t>养老顾问服务的建设通过整合区域内各类养老服务资源，如养老机构、康复辅助器具租赁企业、老年用品生产厂家等。一方面，帮助服务供给方更清晰了解市场需求，依据老年人的普遍需求和个性化偏好，调整产品和服务供给策略，避免资源浪费与重复建设。另一方面，促进养老服务资源在不同区域、不同层次间的合理流动，使资源向需求旺盛且服务薄弱的地区或群体倾斜，提升整个养老产业的资源利用效率，推动养老产业经济健康发展。</w:t>
      </w:r>
    </w:p>
    <w:p w14:paraId="34F5BA42">
      <w:pPr>
        <w:pStyle w:val="16"/>
        <w:adjustRightInd w:val="0"/>
        <w:snapToGrid w:val="0"/>
        <w:ind w:firstLine="0"/>
        <w:rPr>
          <w:rFonts w:ascii="方正仿宋_GBK" w:hAnsi="方正仿宋_GBK" w:eastAsia="方正仿宋_GBK" w:cs="方正仿宋_GBK"/>
          <w:snapToGrid w:val="0"/>
          <w:color w:val="auto"/>
        </w:rPr>
      </w:pPr>
      <w:r>
        <w:rPr>
          <w:rFonts w:hint="eastAsia" w:ascii="方正仿宋_GBK" w:hAnsi="方正仿宋_GBK" w:eastAsia="方正仿宋_GBK" w:cs="方正仿宋_GBK"/>
          <w:snapToGrid w:val="0"/>
          <w:color w:val="auto"/>
        </w:rPr>
        <w:t>（3）拉动包含养老服务消费在内的银发经济</w:t>
      </w:r>
    </w:p>
    <w:p w14:paraId="26C30F75">
      <w:pPr>
        <w:pStyle w:val="16"/>
        <w:adjustRightInd w:val="0"/>
        <w:snapToGrid w:val="0"/>
        <w:ind w:firstLine="0"/>
        <w:rPr>
          <w:rFonts w:ascii="方正仿宋_GBK" w:hAnsi="方正仿宋_GBK" w:eastAsia="方正仿宋_GBK" w:cs="方正仿宋_GBK"/>
          <w:snapToGrid w:val="0"/>
          <w:color w:val="auto"/>
        </w:rPr>
      </w:pPr>
      <w:r>
        <w:rPr>
          <w:rFonts w:hint="eastAsia" w:ascii="方正仿宋_GBK" w:hAnsi="方正仿宋_GBK" w:eastAsia="方正仿宋_GBK" w:cs="方正仿宋_GBK"/>
          <w:snapToGrid w:val="0"/>
          <w:color w:val="auto"/>
          <w:lang w:val="en-US" w:eastAsia="zh-CN"/>
        </w:rPr>
        <w:t>制定实施</w:t>
      </w:r>
      <w:r>
        <w:rPr>
          <w:rFonts w:hint="eastAsia" w:ascii="方正仿宋_GBK" w:hAnsi="方正仿宋_GBK" w:eastAsia="方正仿宋_GBK" w:cs="方正仿宋_GBK"/>
          <w:snapToGrid w:val="0"/>
          <w:color w:val="auto"/>
        </w:rPr>
        <w:t>养老顾问服务</w:t>
      </w:r>
      <w:r>
        <w:rPr>
          <w:rFonts w:hint="eastAsia" w:ascii="方正仿宋_GBK" w:hAnsi="方正仿宋_GBK" w:eastAsia="方正仿宋_GBK" w:cs="方正仿宋_GBK"/>
          <w:snapToGrid w:val="0"/>
          <w:color w:val="auto"/>
          <w:lang w:val="en-US" w:eastAsia="zh-CN"/>
        </w:rPr>
        <w:t>标准</w:t>
      </w:r>
      <w:r>
        <w:rPr>
          <w:rFonts w:hint="eastAsia" w:ascii="方正仿宋_GBK" w:hAnsi="方正仿宋_GBK" w:eastAsia="方正仿宋_GBK" w:cs="方正仿宋_GBK"/>
          <w:snapToGrid w:val="0"/>
          <w:color w:val="auto"/>
        </w:rPr>
        <w:t>能够提高服务质量、优化资源配置和增强老年人消费信心，通过个性化的养老服务激发老年人对品质养老生活的追求，促使其探索养老服务消费。同时，养老服务消费的增长会推动养老服务产业的规模化、品牌化发展，满足了老年人的服务需求，有利于带动银发经济的发展。</w:t>
      </w:r>
    </w:p>
    <w:p w14:paraId="641F9F95">
      <w:pPr>
        <w:pStyle w:val="16"/>
        <w:adjustRightInd w:val="0"/>
        <w:snapToGrid w:val="0"/>
        <w:ind w:firstLine="0"/>
        <w:rPr>
          <w:rFonts w:ascii="方正仿宋_GBK" w:hAnsi="方正仿宋_GBK" w:eastAsia="方正仿宋_GBK" w:cs="方正仿宋_GBK"/>
          <w:snapToGrid w:val="0"/>
          <w:color w:val="auto"/>
        </w:rPr>
      </w:pPr>
      <w:r>
        <w:rPr>
          <w:rFonts w:hint="eastAsia" w:ascii="方正仿宋_GBK" w:hAnsi="方正仿宋_GBK" w:eastAsia="方正仿宋_GBK" w:cs="方正仿宋_GBK"/>
          <w:snapToGrid w:val="0"/>
          <w:color w:val="auto"/>
          <w:lang w:eastAsia="zh-CN"/>
        </w:rPr>
        <w:t>2.</w:t>
      </w:r>
      <w:r>
        <w:rPr>
          <w:rFonts w:hint="eastAsia" w:ascii="方正仿宋_GBK" w:hAnsi="方正仿宋_GBK" w:eastAsia="方正仿宋_GBK" w:cs="方正仿宋_GBK"/>
          <w:snapToGrid w:val="0"/>
          <w:color w:val="auto"/>
        </w:rPr>
        <w:t>预期社会效益</w:t>
      </w:r>
    </w:p>
    <w:p w14:paraId="260AFD1D">
      <w:pPr>
        <w:pStyle w:val="16"/>
        <w:adjustRightInd w:val="0"/>
        <w:snapToGrid w:val="0"/>
        <w:ind w:firstLine="0"/>
        <w:rPr>
          <w:rFonts w:hint="eastAsia" w:ascii="方正仿宋_GBK" w:hAnsi="方正仿宋_GBK" w:eastAsia="方正仿宋_GBK" w:cs="方正仿宋_GBK"/>
          <w:snapToGrid w:val="0"/>
          <w:color w:val="auto"/>
        </w:rPr>
      </w:pPr>
      <w:r>
        <w:rPr>
          <w:rFonts w:hint="eastAsia" w:ascii="方正仿宋_GBK" w:hAnsi="方正仿宋_GBK" w:eastAsia="方正仿宋_GBK" w:cs="方正仿宋_GBK"/>
          <w:snapToGrid w:val="0"/>
          <w:color w:val="auto"/>
        </w:rPr>
        <w:t>（1）提升老年人生活质量</w:t>
      </w:r>
    </w:p>
    <w:p w14:paraId="7E651E6C">
      <w:pPr>
        <w:pStyle w:val="16"/>
        <w:adjustRightInd w:val="0"/>
        <w:snapToGrid w:val="0"/>
        <w:ind w:firstLine="0"/>
        <w:rPr>
          <w:rFonts w:ascii="方正仿宋_GBK" w:hAnsi="方正仿宋_GBK" w:eastAsia="方正仿宋_GBK" w:cs="方正仿宋_GBK"/>
          <w:snapToGrid w:val="0"/>
          <w:color w:val="auto"/>
        </w:rPr>
      </w:pPr>
      <w:r>
        <w:rPr>
          <w:rFonts w:hint="eastAsia" w:ascii="方正仿宋_GBK" w:hAnsi="方正仿宋_GBK" w:eastAsia="方正仿宋_GBK" w:cs="方正仿宋_GBK"/>
          <w:snapToGrid w:val="0"/>
          <w:color w:val="auto"/>
        </w:rPr>
        <w:t>养老顾问服务有助于为老年人提供全方位养老服务指导，涵盖生活照料、医疗保健、精神文化等多个方面。通过这些指导，老年人能得到更贴心、专业的照护，满足情感交流与自我实现需求，提升生活品质，使其安享晚年。</w:t>
      </w:r>
    </w:p>
    <w:p w14:paraId="0DC59039">
      <w:pPr>
        <w:pStyle w:val="16"/>
        <w:adjustRightInd w:val="0"/>
        <w:snapToGrid w:val="0"/>
        <w:ind w:firstLine="0"/>
        <w:rPr>
          <w:rFonts w:ascii="方正仿宋_GBK" w:hAnsi="方正仿宋_GBK" w:eastAsia="方正仿宋_GBK" w:cs="方正仿宋_GBK"/>
          <w:snapToGrid w:val="0"/>
          <w:color w:val="auto"/>
        </w:rPr>
      </w:pPr>
      <w:r>
        <w:rPr>
          <w:rFonts w:hint="eastAsia" w:ascii="方正仿宋_GBK" w:hAnsi="方正仿宋_GBK" w:eastAsia="方正仿宋_GBK" w:cs="方正仿宋_GBK"/>
          <w:snapToGrid w:val="0"/>
          <w:color w:val="auto"/>
        </w:rPr>
        <w:t>（2）减轻家庭养老负担与社会压力</w:t>
      </w:r>
    </w:p>
    <w:p w14:paraId="7B16D7A4">
      <w:pPr>
        <w:pStyle w:val="16"/>
        <w:adjustRightInd w:val="0"/>
        <w:snapToGrid w:val="0"/>
        <w:ind w:firstLine="0"/>
        <w:rPr>
          <w:rFonts w:ascii="方正仿宋_GBK" w:hAnsi="方正仿宋_GBK" w:eastAsia="方正仿宋_GBK" w:cs="方正仿宋_GBK"/>
          <w:snapToGrid w:val="0"/>
          <w:color w:val="auto"/>
        </w:rPr>
      </w:pPr>
      <w:r>
        <w:rPr>
          <w:rFonts w:hint="eastAsia" w:ascii="方正仿宋_GBK" w:hAnsi="方正仿宋_GBK" w:eastAsia="方正仿宋_GBK" w:cs="方正仿宋_GBK"/>
          <w:snapToGrid w:val="0"/>
          <w:color w:val="auto"/>
        </w:rPr>
        <w:t>养老顾问</w:t>
      </w:r>
      <w:r>
        <w:rPr>
          <w:rFonts w:hint="eastAsia" w:ascii="方正仿宋_GBK" w:hAnsi="方正仿宋_GBK" w:eastAsia="方正仿宋_GBK" w:cs="方正仿宋_GBK"/>
          <w:snapToGrid w:val="0"/>
          <w:color w:val="auto"/>
          <w:lang w:val="en-US" w:eastAsia="zh-CN"/>
        </w:rPr>
        <w:t>服务</w:t>
      </w:r>
      <w:r>
        <w:rPr>
          <w:rFonts w:hint="eastAsia" w:ascii="方正仿宋_GBK" w:hAnsi="方正仿宋_GBK" w:eastAsia="方正仿宋_GBK" w:cs="方正仿宋_GBK"/>
          <w:snapToGrid w:val="0"/>
          <w:color w:val="auto"/>
        </w:rPr>
        <w:t>为家庭提供多元化养老服务选择，减轻家庭经济与人力负担。同时，家庭养老负担减轻，能使更多劳动力从家庭照料中解放出来，投入社会生产，并且降低因家庭养老压力过大引发的社会问题风险，维护社会稳定和谐。</w:t>
      </w:r>
    </w:p>
    <w:p w14:paraId="1C0CE9D5">
      <w:pPr>
        <w:pStyle w:val="16"/>
        <w:adjustRightInd w:val="0"/>
        <w:snapToGrid w:val="0"/>
        <w:ind w:firstLine="0"/>
        <w:rPr>
          <w:rFonts w:ascii="方正仿宋_GBK" w:hAnsi="方正仿宋_GBK" w:eastAsia="方正仿宋_GBK" w:cs="方正仿宋_GBK"/>
          <w:snapToGrid w:val="0"/>
          <w:color w:val="auto"/>
        </w:rPr>
      </w:pPr>
      <w:r>
        <w:rPr>
          <w:rFonts w:hint="eastAsia" w:ascii="方正仿宋_GBK" w:hAnsi="方正仿宋_GBK" w:eastAsia="方正仿宋_GBK" w:cs="方正仿宋_GBK"/>
          <w:snapToGrid w:val="0"/>
          <w:color w:val="auto"/>
        </w:rPr>
        <w:t>（3）促进社会公平与和谐发展</w:t>
      </w:r>
    </w:p>
    <w:p w14:paraId="0C784EEF">
      <w:pPr>
        <w:pStyle w:val="16"/>
        <w:adjustRightInd w:val="0"/>
        <w:snapToGrid w:val="0"/>
        <w:ind w:firstLine="0"/>
        <w:rPr>
          <w:rFonts w:ascii="方正仿宋_GBK" w:hAnsi="方正仿宋_GBK" w:eastAsia="方正仿宋_GBK" w:cs="方正仿宋_GBK"/>
          <w:snapToGrid w:val="0"/>
          <w:color w:val="auto"/>
        </w:rPr>
      </w:pPr>
      <w:r>
        <w:rPr>
          <w:rFonts w:hint="eastAsia" w:ascii="方正仿宋_GBK" w:hAnsi="方正仿宋_GBK" w:eastAsia="方正仿宋_GBK" w:cs="方正仿宋_GBK"/>
          <w:snapToGrid w:val="0"/>
          <w:color w:val="auto"/>
        </w:rPr>
        <w:t>通过为老年人提供优质的养老</w:t>
      </w:r>
      <w:r>
        <w:rPr>
          <w:rFonts w:hint="eastAsia" w:ascii="方正仿宋_GBK" w:hAnsi="方正仿宋_GBK" w:eastAsia="方正仿宋_GBK" w:cs="方正仿宋_GBK"/>
          <w:snapToGrid w:val="0"/>
          <w:color w:val="auto"/>
          <w:lang w:val="en-US" w:eastAsia="zh-CN"/>
        </w:rPr>
        <w:t>顾问</w:t>
      </w:r>
      <w:r>
        <w:rPr>
          <w:rFonts w:hint="eastAsia" w:ascii="方正仿宋_GBK" w:hAnsi="方正仿宋_GBK" w:eastAsia="方正仿宋_GBK" w:cs="方正仿宋_GBK"/>
          <w:snapToGrid w:val="0"/>
          <w:color w:val="auto"/>
        </w:rPr>
        <w:t>服务，确保每位老年人都能平等获取养老服务信息与资源，提高其获得感、幸福感、安全感，促进社会和谐稳定。</w:t>
      </w:r>
    </w:p>
    <w:bookmarkEnd w:id="29"/>
    <w:p w14:paraId="01023DBF">
      <w:pPr>
        <w:pStyle w:val="16"/>
        <w:snapToGrid w:val="0"/>
        <w:ind w:firstLine="0"/>
        <w:rPr>
          <w:snapToGrid w:val="0"/>
          <w:color w:val="auto"/>
          <w:lang w:val="zh-TW" w:eastAsia="zh-TW"/>
        </w:rPr>
      </w:pPr>
      <w:r>
        <w:rPr>
          <w:rFonts w:hint="eastAsia"/>
          <w:snapToGrid w:val="0"/>
          <w:color w:val="auto"/>
        </w:rPr>
        <w:t>四、</w:t>
      </w:r>
      <w:r>
        <w:rPr>
          <w:rFonts w:hint="eastAsia"/>
          <w:snapToGrid w:val="0"/>
          <w:color w:val="auto"/>
          <w:lang w:val="zh-TW" w:eastAsia="zh-TW"/>
        </w:rPr>
        <w:t>与国际、国外同类标准技术内容的对比情况</w:t>
      </w:r>
    </w:p>
    <w:bookmarkEnd w:id="26"/>
    <w:bookmarkEnd w:id="27"/>
    <w:bookmarkEnd w:id="28"/>
    <w:p w14:paraId="2E82B92C">
      <w:pPr>
        <w:pStyle w:val="14"/>
        <w:snapToGrid w:val="0"/>
        <w:ind w:firstLine="0"/>
        <w:rPr>
          <w:rFonts w:ascii="方正仿宋_GBK" w:hAnsi="方正仿宋_GBK" w:eastAsia="方正仿宋_GBK" w:cs="方正仿宋_GBK"/>
          <w:snapToGrid w:val="0"/>
          <w:color w:val="auto"/>
          <w:kern w:val="0"/>
          <w:lang w:val="zh-TW" w:eastAsia="zh-TW"/>
        </w:rPr>
      </w:pPr>
      <w:bookmarkStart w:id="30" w:name="_Toc89083385"/>
      <w:bookmarkStart w:id="31" w:name="_Toc5596"/>
      <w:r>
        <w:rPr>
          <w:rFonts w:hint="eastAsia" w:ascii="方正仿宋_GBK" w:hAnsi="方正仿宋_GBK" w:eastAsia="方正仿宋_GBK" w:cs="方正仿宋_GBK"/>
          <w:snapToGrid w:val="0"/>
          <w:color w:val="auto"/>
          <w:kern w:val="0"/>
        </w:rPr>
        <w:t>无</w:t>
      </w:r>
      <w:r>
        <w:rPr>
          <w:rFonts w:hint="eastAsia" w:ascii="方正仿宋_GBK" w:hAnsi="方正仿宋_GBK" w:eastAsia="方正仿宋_GBK" w:cs="方正仿宋_GBK"/>
          <w:snapToGrid w:val="0"/>
          <w:color w:val="auto"/>
          <w:kern w:val="0"/>
          <w:lang w:val="zh-TW" w:eastAsia="zh-TW"/>
        </w:rPr>
        <w:t>。</w:t>
      </w:r>
    </w:p>
    <w:p w14:paraId="3025465E">
      <w:pPr>
        <w:pStyle w:val="16"/>
        <w:snapToGrid w:val="0"/>
        <w:ind w:firstLine="0"/>
        <w:rPr>
          <w:snapToGrid w:val="0"/>
          <w:color w:val="auto"/>
        </w:rPr>
      </w:pPr>
      <w:r>
        <w:rPr>
          <w:rFonts w:hint="eastAsia"/>
          <w:snapToGrid w:val="0"/>
          <w:color w:val="auto"/>
        </w:rPr>
        <w:t>五、以国际标准为基础的起草情况，以及是否合规引用或者采用国际国外标准，并说明未采用国际标准的原因</w:t>
      </w:r>
    </w:p>
    <w:p w14:paraId="1E7756F6">
      <w:pPr>
        <w:pStyle w:val="14"/>
        <w:snapToGrid w:val="0"/>
        <w:ind w:firstLine="0"/>
        <w:rPr>
          <w:rFonts w:ascii="方正仿宋_GBK" w:hAnsi="方正仿宋_GBK" w:eastAsia="方正仿宋_GBK" w:cs="方正仿宋_GBK"/>
          <w:snapToGrid w:val="0"/>
          <w:color w:val="auto"/>
          <w:kern w:val="0"/>
        </w:rPr>
      </w:pPr>
      <w:r>
        <w:rPr>
          <w:rFonts w:hint="eastAsia" w:ascii="方正仿宋_GBK" w:hAnsi="方正仿宋_GBK" w:eastAsia="方正仿宋_GBK" w:cs="方正仿宋_GBK"/>
          <w:snapToGrid w:val="0"/>
          <w:color w:val="auto"/>
          <w:kern w:val="0"/>
          <w:lang w:eastAsia="zh-CN"/>
        </w:rPr>
        <w:t>国际尚无此类标准，但已有相关实践。</w:t>
      </w:r>
      <w:r>
        <w:rPr>
          <w:rFonts w:ascii="方正仿宋_GBK" w:hAnsi="方正仿宋_GBK" w:eastAsia="方正仿宋_GBK" w:cs="方正仿宋_GBK"/>
          <w:snapToGrid w:val="0"/>
          <w:color w:val="auto"/>
          <w:kern w:val="0"/>
        </w:rPr>
        <w:t>在美国</w:t>
      </w:r>
      <w:r>
        <w:rPr>
          <w:rFonts w:hint="eastAsia" w:ascii="方正仿宋_GBK" w:hAnsi="方正仿宋_GBK" w:eastAsia="方正仿宋_GBK" w:cs="方正仿宋_GBK"/>
          <w:snapToGrid w:val="0"/>
          <w:color w:val="auto"/>
          <w:kern w:val="0"/>
          <w:lang w:eastAsia="zh-CN"/>
        </w:rPr>
        <w:t>主要以</w:t>
      </w:r>
      <w:r>
        <w:rPr>
          <w:rFonts w:hint="eastAsia" w:ascii="方正仿宋_GBK" w:hAnsi="方正仿宋_GBK" w:eastAsia="方正仿宋_GBK" w:cs="方正仿宋_GBK"/>
          <w:snapToGrid w:val="0"/>
          <w:color w:val="auto"/>
          <w:kern w:val="0"/>
        </w:rPr>
        <w:t>个案管理（Case management）</w:t>
      </w:r>
      <w:r>
        <w:rPr>
          <w:rFonts w:hint="eastAsia" w:ascii="方正仿宋_GBK" w:hAnsi="方正仿宋_GBK" w:eastAsia="方正仿宋_GBK" w:cs="方正仿宋_GBK"/>
          <w:snapToGrid w:val="0"/>
          <w:color w:val="auto"/>
          <w:kern w:val="0"/>
          <w:lang w:eastAsia="zh-CN"/>
        </w:rPr>
        <w:t>形式，个案经理</w:t>
      </w:r>
      <w:r>
        <w:rPr>
          <w:rFonts w:hint="eastAsia" w:ascii="方正仿宋_GBK" w:hAnsi="方正仿宋_GBK" w:eastAsia="方正仿宋_GBK" w:cs="方正仿宋_GBK"/>
          <w:snapToGrid w:val="0"/>
          <w:color w:val="auto"/>
          <w:kern w:val="0"/>
        </w:rPr>
        <w:t>（Case manager）担任此过程的主导角色</w:t>
      </w:r>
      <w:r>
        <w:rPr>
          <w:rFonts w:hint="eastAsia" w:ascii="方正仿宋_GBK" w:hAnsi="方正仿宋_GBK" w:eastAsia="方正仿宋_GBK" w:cs="方正仿宋_GBK"/>
          <w:snapToGrid w:val="0"/>
          <w:color w:val="auto"/>
          <w:kern w:val="0"/>
          <w:lang w:eastAsia="zh-CN"/>
        </w:rPr>
        <w:t>，</w:t>
      </w:r>
      <w:r>
        <w:rPr>
          <w:rFonts w:hint="eastAsia" w:ascii="方正仿宋_GBK" w:hAnsi="方正仿宋_GBK" w:eastAsia="方正仿宋_GBK" w:cs="方正仿宋_GBK"/>
          <w:snapToGrid w:val="0"/>
          <w:color w:val="auto"/>
          <w:kern w:val="0"/>
        </w:rPr>
        <w:t>通过评估、策划、实施、协调、监督和评价服务来满足</w:t>
      </w:r>
      <w:r>
        <w:rPr>
          <w:rFonts w:hint="eastAsia" w:ascii="方正仿宋_GBK" w:hAnsi="方正仿宋_GBK" w:eastAsia="方正仿宋_GBK" w:cs="方正仿宋_GBK"/>
          <w:snapToGrid w:val="0"/>
          <w:color w:val="auto"/>
          <w:kern w:val="0"/>
          <w:lang w:eastAsia="zh-CN"/>
        </w:rPr>
        <w:t>老年人服务</w:t>
      </w:r>
      <w:r>
        <w:rPr>
          <w:rFonts w:hint="eastAsia" w:ascii="方正仿宋_GBK" w:hAnsi="方正仿宋_GBK" w:eastAsia="方正仿宋_GBK" w:cs="方正仿宋_GBK"/>
          <w:snapToGrid w:val="0"/>
          <w:color w:val="auto"/>
          <w:kern w:val="0"/>
        </w:rPr>
        <w:t>需求。在个案管理中，个案经理针对不同个体实施以</w:t>
      </w:r>
      <w:r>
        <w:rPr>
          <w:rFonts w:hint="eastAsia" w:ascii="方正仿宋_GBK" w:hAnsi="方正仿宋_GBK" w:eastAsia="方正仿宋_GBK" w:cs="方正仿宋_GBK"/>
          <w:snapToGrid w:val="0"/>
          <w:color w:val="auto"/>
          <w:kern w:val="0"/>
          <w:lang w:eastAsia="zh-CN"/>
        </w:rPr>
        <w:t>服务对象</w:t>
      </w:r>
      <w:r>
        <w:rPr>
          <w:rFonts w:hint="eastAsia" w:ascii="方正仿宋_GBK" w:hAnsi="方正仿宋_GBK" w:eastAsia="方正仿宋_GBK" w:cs="方正仿宋_GBK"/>
          <w:snapToGrid w:val="0"/>
          <w:color w:val="auto"/>
          <w:kern w:val="0"/>
        </w:rPr>
        <w:t>为中心的综合性的、协调性的服务，通过评估与沟通识别他们的需求。</w:t>
      </w:r>
    </w:p>
    <w:p w14:paraId="39974B7B">
      <w:pPr>
        <w:pStyle w:val="14"/>
        <w:rPr>
          <w:rFonts w:hint="eastAsia" w:ascii="方正仿宋_GBK" w:hAnsi="方正仿宋_GBK" w:eastAsia="方正仿宋_GBK" w:cs="方正仿宋_GBK"/>
          <w:snapToGrid w:val="0"/>
          <w:color w:val="auto"/>
          <w:kern w:val="0"/>
        </w:rPr>
      </w:pPr>
      <w:r>
        <w:rPr>
          <w:rFonts w:hint="eastAsia" w:ascii="方正仿宋_GBK" w:hAnsi="方正仿宋_GBK" w:eastAsia="方正仿宋_GBK" w:cs="方正仿宋_GBK"/>
          <w:snapToGrid w:val="0"/>
          <w:color w:val="auto"/>
          <w:kern w:val="0"/>
        </w:rPr>
        <w:t>日本</w:t>
      </w:r>
      <w:r>
        <w:rPr>
          <w:rFonts w:hint="eastAsia" w:ascii="方正仿宋_GBK" w:hAnsi="方正仿宋_GBK" w:eastAsia="方正仿宋_GBK" w:cs="方正仿宋_GBK"/>
          <w:snapToGrid w:val="0"/>
          <w:color w:val="auto"/>
          <w:kern w:val="0"/>
          <w:lang w:eastAsia="zh-CN"/>
        </w:rPr>
        <w:t>长期护理保险制度</w:t>
      </w:r>
      <w:r>
        <w:rPr>
          <w:rFonts w:hint="eastAsia" w:ascii="方正仿宋_GBK" w:hAnsi="方正仿宋_GBK" w:eastAsia="方正仿宋_GBK" w:cs="方正仿宋_GBK"/>
          <w:snapToGrid w:val="0"/>
          <w:color w:val="auto"/>
          <w:kern w:val="0"/>
        </w:rPr>
        <w:t>明确规定了不同参与者的职责。其中，养老经纪人（Care manager）是关键角色，目前已建立严格的职业认定、管理机制，具有标准、规范的服务机制。成为养老经纪人必须通过严格的“照护支援专员”资格考试，主要职责是访问申请人的家庭，根据家庭和个人情况提供照护建议，目的是减轻申请人及其家庭在资金和照护上的压力。</w:t>
      </w:r>
    </w:p>
    <w:p w14:paraId="0908FD28">
      <w:pPr>
        <w:pStyle w:val="14"/>
        <w:rPr>
          <w:rFonts w:hint="eastAsia" w:ascii="方正仿宋_GBK" w:hAnsi="方正仿宋_GBK" w:eastAsia="方正仿宋_GBK" w:cs="方正仿宋_GBK"/>
          <w:snapToGrid w:val="0"/>
          <w:color w:val="auto"/>
          <w:kern w:val="0"/>
          <w:lang w:eastAsia="zh-CN"/>
        </w:rPr>
      </w:pPr>
      <w:r>
        <w:rPr>
          <w:rFonts w:hint="eastAsia" w:ascii="方正仿宋_GBK" w:hAnsi="方正仿宋_GBK" w:eastAsia="方正仿宋_GBK" w:cs="方正仿宋_GBK"/>
          <w:snapToGrid w:val="0"/>
          <w:color w:val="auto"/>
          <w:kern w:val="0"/>
          <w:lang w:eastAsia="zh-CN"/>
        </w:rPr>
        <w:t>本标准起草仅将美国、日本的相关实践规范作为参考依据，未直接引用或采用其国家正式标准，所有参考内容均结合我国老年人服务实际情况进行了本土化调整，确保符合我国养老服务体系建设要求及社会发展现状。</w:t>
      </w:r>
    </w:p>
    <w:p w14:paraId="78C24933">
      <w:pPr>
        <w:pStyle w:val="16"/>
        <w:snapToGrid w:val="0"/>
        <w:ind w:firstLine="0"/>
        <w:rPr>
          <w:snapToGrid w:val="0"/>
          <w:color w:val="auto"/>
          <w:lang w:val="zh-TW" w:eastAsia="zh-TW"/>
        </w:rPr>
      </w:pPr>
      <w:r>
        <w:rPr>
          <w:rFonts w:hint="eastAsia"/>
          <w:snapToGrid w:val="0"/>
          <w:color w:val="auto"/>
        </w:rPr>
        <w:t>六、与有关法律、行政法规及相关标准的关系</w:t>
      </w:r>
    </w:p>
    <w:p w14:paraId="1E4A76A0">
      <w:pPr>
        <w:pStyle w:val="16"/>
        <w:snapToGrid w:val="0"/>
        <w:ind w:firstLine="0"/>
        <w:rPr>
          <w:rFonts w:ascii="方正仿宋_GBK" w:hAnsi="方正仿宋_GBK" w:eastAsia="方正仿宋_GBK" w:cs="方正仿宋_GBK"/>
          <w:snapToGrid w:val="0"/>
          <w:color w:val="auto"/>
        </w:rPr>
      </w:pPr>
      <w:bookmarkStart w:id="32" w:name="_Toc167721129"/>
      <w:r>
        <w:rPr>
          <w:rFonts w:hint="eastAsia" w:ascii="方正仿宋_GBK" w:hAnsi="方正仿宋_GBK" w:eastAsia="方正仿宋_GBK" w:cs="方正仿宋_GBK"/>
          <w:snapToGrid w:val="0"/>
          <w:color w:val="auto"/>
          <w:szCs w:val="28"/>
        </w:rPr>
        <w:t>本标准符合《中华人民共和国标准化法》、《中华人民共和国老年人权益保障法》等相关法律法规、规范性文件的规定。</w:t>
      </w:r>
      <w:r>
        <w:rPr>
          <w:rFonts w:hint="eastAsia" w:ascii="方正仿宋_GBK" w:hAnsi="方正仿宋_GBK" w:eastAsia="方正仿宋_GBK" w:cs="方正仿宋_GBK"/>
          <w:snapToGrid w:val="0"/>
          <w:color w:val="auto"/>
        </w:rPr>
        <w:t>本标准与现行的国家标准、行业标准等相互协调、相互兼容，并有机衔接。</w:t>
      </w:r>
      <w:bookmarkEnd w:id="32"/>
    </w:p>
    <w:p w14:paraId="0BAE6AC4">
      <w:pPr>
        <w:pStyle w:val="16"/>
        <w:snapToGrid w:val="0"/>
        <w:ind w:firstLine="0"/>
        <w:rPr>
          <w:snapToGrid w:val="0"/>
          <w:color w:val="auto"/>
          <w:lang w:val="zh-TW" w:eastAsia="zh-TW"/>
        </w:rPr>
      </w:pPr>
      <w:r>
        <w:rPr>
          <w:rFonts w:hint="eastAsia"/>
          <w:snapToGrid w:val="0"/>
          <w:color w:val="auto"/>
        </w:rPr>
        <w:t>七、</w:t>
      </w:r>
      <w:r>
        <w:rPr>
          <w:rFonts w:hint="eastAsia"/>
          <w:snapToGrid w:val="0"/>
          <w:color w:val="auto"/>
          <w:lang w:val="zh-TW" w:eastAsia="zh-TW"/>
        </w:rPr>
        <w:t>重大分歧意见的处理经过和依据</w:t>
      </w:r>
    </w:p>
    <w:p w14:paraId="2F42F9DF">
      <w:pPr>
        <w:pStyle w:val="14"/>
        <w:snapToGrid w:val="0"/>
        <w:ind w:firstLine="0"/>
        <w:rPr>
          <w:rFonts w:ascii="方正仿宋_GBK" w:hAnsi="方正仿宋_GBK" w:eastAsia="方正仿宋_GBK" w:cs="方正仿宋_GBK"/>
          <w:snapToGrid w:val="0"/>
          <w:color w:val="auto"/>
          <w:kern w:val="0"/>
          <w:lang w:val="zh-TW" w:eastAsia="zh-TW"/>
        </w:rPr>
      </w:pPr>
      <w:r>
        <w:rPr>
          <w:rFonts w:hint="eastAsia" w:ascii="方正仿宋_GBK" w:hAnsi="方正仿宋_GBK" w:eastAsia="方正仿宋_GBK" w:cs="方正仿宋_GBK"/>
          <w:snapToGrid w:val="0"/>
          <w:color w:val="auto"/>
          <w:kern w:val="0"/>
        </w:rPr>
        <w:t>无</w:t>
      </w:r>
      <w:r>
        <w:rPr>
          <w:rFonts w:hint="eastAsia" w:ascii="方正仿宋_GBK" w:hAnsi="方正仿宋_GBK" w:eastAsia="方正仿宋_GBK" w:cs="方正仿宋_GBK"/>
          <w:snapToGrid w:val="0"/>
          <w:color w:val="auto"/>
          <w:kern w:val="0"/>
          <w:lang w:val="zh-TW" w:eastAsia="zh-TW"/>
        </w:rPr>
        <w:t>。</w:t>
      </w:r>
    </w:p>
    <w:p w14:paraId="3AE9C3AE">
      <w:pPr>
        <w:pStyle w:val="16"/>
        <w:snapToGrid w:val="0"/>
        <w:ind w:firstLine="0"/>
        <w:rPr>
          <w:snapToGrid w:val="0"/>
          <w:color w:val="auto"/>
        </w:rPr>
      </w:pPr>
      <w:r>
        <w:rPr>
          <w:rFonts w:hint="eastAsia"/>
          <w:snapToGrid w:val="0"/>
          <w:color w:val="auto"/>
        </w:rPr>
        <w:t>八、涉及专利的有关说明</w:t>
      </w:r>
    </w:p>
    <w:p w14:paraId="25861488">
      <w:pPr>
        <w:pStyle w:val="14"/>
        <w:snapToGrid w:val="0"/>
        <w:ind w:firstLine="0"/>
        <w:rPr>
          <w:rFonts w:ascii="方正仿宋_GBK" w:hAnsi="方正仿宋_GBK" w:eastAsia="方正仿宋_GBK" w:cs="方正仿宋_GBK"/>
          <w:snapToGrid w:val="0"/>
          <w:color w:val="auto"/>
          <w:kern w:val="0"/>
          <w:lang w:val="zh-TW" w:eastAsia="zh-TW"/>
        </w:rPr>
      </w:pPr>
      <w:bookmarkStart w:id="33" w:name="_Toc167721133"/>
      <w:r>
        <w:rPr>
          <w:rFonts w:hint="eastAsia" w:ascii="方正仿宋_GBK" w:hAnsi="方正仿宋_GBK" w:eastAsia="方正仿宋_GBK" w:cs="方正仿宋_GBK"/>
          <w:snapToGrid w:val="0"/>
          <w:color w:val="auto"/>
          <w:kern w:val="0"/>
        </w:rPr>
        <w:t>无</w:t>
      </w:r>
      <w:r>
        <w:rPr>
          <w:rFonts w:hint="eastAsia" w:ascii="方正仿宋_GBK" w:hAnsi="方正仿宋_GBK" w:eastAsia="方正仿宋_GBK" w:cs="方正仿宋_GBK"/>
          <w:snapToGrid w:val="0"/>
          <w:color w:val="auto"/>
          <w:kern w:val="0"/>
          <w:lang w:val="zh-TW" w:eastAsia="zh-TW"/>
        </w:rPr>
        <w:t>。</w:t>
      </w:r>
      <w:bookmarkEnd w:id="33"/>
    </w:p>
    <w:p w14:paraId="55315DAD">
      <w:pPr>
        <w:pStyle w:val="16"/>
        <w:snapToGrid w:val="0"/>
        <w:ind w:firstLine="0"/>
        <w:rPr>
          <w:snapToGrid w:val="0"/>
          <w:color w:val="auto"/>
        </w:rPr>
      </w:pPr>
      <w:r>
        <w:rPr>
          <w:rFonts w:hint="eastAsia"/>
          <w:snapToGrid w:val="0"/>
          <w:color w:val="auto"/>
        </w:rPr>
        <w:t>九、实施行业标准的要求，以及组织措施、技术措施、过渡期和实施日期的建议等措施建议</w:t>
      </w:r>
    </w:p>
    <w:p w14:paraId="3A62139A">
      <w:pPr>
        <w:pStyle w:val="16"/>
        <w:adjustRightInd w:val="0"/>
        <w:snapToGrid w:val="0"/>
        <w:ind w:firstLine="0"/>
        <w:rPr>
          <w:rFonts w:ascii="仿宋" w:hAnsi="仿宋" w:eastAsia="方正仿宋_GBK" w:cs="仿宋"/>
          <w:snapToGrid w:val="0"/>
          <w:color w:val="auto"/>
        </w:rPr>
      </w:pPr>
      <w:bookmarkStart w:id="34" w:name="_Toc167721135"/>
      <w:r>
        <w:rPr>
          <w:rFonts w:hint="eastAsia" w:ascii="方正仿宋_GBK" w:hAnsi="方正仿宋_GBK" w:eastAsia="方正仿宋_GBK" w:cs="方正仿宋_GBK"/>
          <w:snapToGrid w:val="0"/>
          <w:color w:val="auto"/>
        </w:rPr>
        <w:t>建议</w:t>
      </w:r>
      <w:r>
        <w:rPr>
          <w:rFonts w:hint="eastAsia" w:ascii="方正仿宋_GBK" w:hAnsi="方正仿宋_GBK" w:eastAsia="方正仿宋_GBK" w:cs="方正仿宋_GBK"/>
          <w:snapToGrid w:val="0"/>
          <w:color w:val="auto"/>
          <w:lang w:val="zh-TW" w:eastAsia="zh-TW"/>
        </w:rPr>
        <w:t>本标准</w:t>
      </w:r>
      <w:r>
        <w:rPr>
          <w:rFonts w:hint="eastAsia" w:ascii="方正仿宋_GBK" w:hAnsi="方正仿宋_GBK" w:eastAsia="方正仿宋_GBK" w:cs="方正仿宋_GBK"/>
          <w:snapToGrid w:val="0"/>
          <w:color w:val="auto"/>
        </w:rPr>
        <w:t>作为推荐性行业标准发布实施，设置3个月过渡期</w:t>
      </w:r>
      <w:r>
        <w:rPr>
          <w:rFonts w:hint="eastAsia" w:ascii="方正仿宋_GBK" w:hAnsi="方正仿宋_GBK" w:eastAsia="方正仿宋_GBK" w:cs="方正仿宋_GBK"/>
          <w:snapToGrid w:val="0"/>
          <w:color w:val="auto"/>
          <w:lang w:val="zh-TW" w:eastAsia="zh-TW"/>
        </w:rPr>
        <w:t>。建议成立标准宣贯实施小组，多方式、多渠道开展标准的宣传、普及工作，定期</w:t>
      </w:r>
      <w:r>
        <w:rPr>
          <w:rFonts w:hint="eastAsia" w:ascii="方正仿宋_GBK" w:hAnsi="方正仿宋_GBK" w:eastAsia="方正仿宋_GBK" w:cs="方正仿宋_GBK"/>
          <w:snapToGrid w:val="0"/>
          <w:color w:val="auto"/>
        </w:rPr>
        <w:t>组织召开</w:t>
      </w:r>
      <w:r>
        <w:rPr>
          <w:rFonts w:hint="eastAsia" w:ascii="方正仿宋_GBK" w:hAnsi="方正仿宋_GBK" w:eastAsia="方正仿宋_GBK" w:cs="方正仿宋_GBK"/>
          <w:snapToGrid w:val="0"/>
          <w:color w:val="auto"/>
          <w:lang w:val="zh-TW" w:eastAsia="zh-TW"/>
        </w:rPr>
        <w:t>培训班，对</w:t>
      </w:r>
      <w:r>
        <w:rPr>
          <w:rFonts w:hint="eastAsia" w:ascii="方正仿宋_GBK" w:hAnsi="方正仿宋_GBK" w:eastAsia="方正仿宋_GBK" w:cs="方正仿宋_GBK"/>
          <w:snapToGrid w:val="0"/>
          <w:color w:val="auto"/>
        </w:rPr>
        <w:t>标准</w:t>
      </w:r>
      <w:r>
        <w:rPr>
          <w:rFonts w:hint="eastAsia" w:ascii="方正仿宋_GBK" w:hAnsi="方正仿宋_GBK" w:eastAsia="方正仿宋_GBK" w:cs="方正仿宋_GBK"/>
          <w:snapToGrid w:val="0"/>
          <w:color w:val="auto"/>
          <w:lang w:val="zh-TW" w:eastAsia="zh-TW"/>
        </w:rPr>
        <w:t>使用单位及人员进行培训。</w:t>
      </w:r>
      <w:r>
        <w:rPr>
          <w:rFonts w:hint="eastAsia" w:ascii="方正仿宋_GBK" w:hAnsi="方正仿宋_GBK" w:eastAsia="方正仿宋_GBK" w:cs="方正仿宋_GBK"/>
          <w:snapToGrid w:val="0"/>
          <w:color w:val="auto"/>
        </w:rPr>
        <w:t>建议标准实施一定时间后，按照反馈情况对标准进一步修订和完善。</w:t>
      </w:r>
    </w:p>
    <w:bookmarkEnd w:id="34"/>
    <w:p w14:paraId="2F0C1579">
      <w:pPr>
        <w:pStyle w:val="16"/>
        <w:snapToGrid w:val="0"/>
        <w:ind w:firstLine="0"/>
        <w:rPr>
          <w:snapToGrid w:val="0"/>
          <w:color w:val="auto"/>
        </w:rPr>
      </w:pPr>
      <w:r>
        <w:rPr>
          <w:rFonts w:hint="eastAsia"/>
          <w:snapToGrid w:val="0"/>
          <w:color w:val="auto"/>
        </w:rPr>
        <w:t>十、其他应当说明的事项</w:t>
      </w:r>
    </w:p>
    <w:p w14:paraId="79D7912B">
      <w:pPr>
        <w:pStyle w:val="14"/>
        <w:snapToGrid w:val="0"/>
        <w:ind w:firstLine="0"/>
        <w:rPr>
          <w:snapToGrid w:val="0"/>
          <w:color w:val="auto"/>
          <w:kern w:val="0"/>
        </w:rPr>
      </w:pPr>
      <w:bookmarkStart w:id="35" w:name="_Toc167721137"/>
      <w:r>
        <w:rPr>
          <w:rFonts w:hint="eastAsia" w:ascii="方正仿宋_GBK" w:hAnsi="方正仿宋_GBK" w:eastAsia="方正仿宋_GBK" w:cs="方正仿宋_GBK"/>
          <w:snapToGrid w:val="0"/>
          <w:color w:val="auto"/>
          <w:kern w:val="0"/>
        </w:rPr>
        <w:t>本标准符合公平竞争要求，不存在限制或者变相限制市场准入和退出、限制或者变相限制商品要素自由流动、影响经营者生产经营成本、影响经营者生产经营行为的情况</w:t>
      </w:r>
      <w:r>
        <w:rPr>
          <w:rFonts w:hint="eastAsia" w:ascii="方正仿宋_GBK" w:hAnsi="方正仿宋_GBK" w:eastAsia="方正仿宋_GBK" w:cs="方正仿宋_GBK"/>
          <w:snapToGrid w:val="0"/>
          <w:color w:val="auto"/>
          <w:kern w:val="0"/>
          <w:lang w:eastAsia="zh-CN"/>
        </w:rPr>
        <w:t>。</w:t>
      </w:r>
      <w:bookmarkEnd w:id="30"/>
      <w:bookmarkEnd w:id="31"/>
      <w:bookmarkEnd w:id="35"/>
      <w:r>
        <w:rPr>
          <w:rFonts w:hint="eastAsia" w:ascii="仿宋" w:hAnsi="仿宋" w:eastAsia="仿宋" w:cs="仿宋"/>
          <w:bCs/>
          <w:snapToGrid w:val="0"/>
          <w:color w:val="auto"/>
          <w:kern w:val="0"/>
        </w:rPr>
        <w:t xml:space="preserve">                             </w:t>
      </w:r>
      <w:r>
        <w:rPr>
          <w:rFonts w:ascii="仿宋" w:hAnsi="仿宋" w:eastAsia="仿宋" w:cs="仿宋"/>
          <w:bCs/>
          <w:snapToGrid w:val="0"/>
          <w:color w:val="auto"/>
          <w:kern w:val="0"/>
        </w:rPr>
        <w:t xml:space="preserve"> </w:t>
      </w:r>
      <w:r>
        <w:rPr>
          <w:rFonts w:hint="eastAsia" w:ascii="仿宋" w:hAnsi="仿宋" w:eastAsia="仿宋" w:cs="仿宋"/>
          <w:bCs/>
          <w:snapToGrid w:val="0"/>
          <w:color w:val="auto"/>
          <w:kern w:val="0"/>
        </w:rPr>
        <w:t xml:space="preserve"> </w:t>
      </w:r>
    </w:p>
    <w:p w14:paraId="0002C384">
      <w:pPr>
        <w:snapToGrid w:val="0"/>
        <w:spacing w:line="560" w:lineRule="exact"/>
        <w:rPr>
          <w:snapToGrid w:val="0"/>
          <w:color w:val="auto"/>
          <w:kern w:val="0"/>
        </w:rPr>
      </w:pPr>
    </w:p>
    <w:sectPr>
      <w:footerReference r:id="rId3" w:type="default"/>
      <w:pgSz w:w="11906" w:h="16838"/>
      <w:pgMar w:top="1417" w:right="1417" w:bottom="1417" w:left="1417" w:header="851" w:footer="992" w:gutter="0"/>
      <w:pgNumType w:start="1"/>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仿宋_GBK">
    <w:panose1 w:val="02000000000000000000"/>
    <w:charset w:val="86"/>
    <w:family w:val="auto"/>
    <w:pitch w:val="default"/>
    <w:sig w:usb0="A00002BF" w:usb1="38CF7CFA" w:usb2="00082016" w:usb3="00000000" w:csb0="00040001" w:csb1="00000000"/>
  </w:font>
  <w:font w:name="方正楷体_GB2312">
    <w:altName w:val="楷体_GB2312"/>
    <w:panose1 w:val="02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楷体_GBK">
    <w:panose1 w:val="02000000000000000000"/>
    <w:charset w:val="86"/>
    <w:family w:val="auto"/>
    <w:pitch w:val="default"/>
    <w:sig w:usb0="A00002BF" w:usb1="38CF7CFA" w:usb2="00082016" w:usb3="00000000" w:csb0="00040001"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32A32A">
    <w:pPr>
      <w:pStyle w:val="6"/>
      <w:jc w:val="center"/>
    </w:pPr>
    <w:r>
      <w:fldChar w:fldCharType="begin"/>
    </w:r>
    <w:r>
      <w:instrText xml:space="preserve"> PAGE   \* MERGEFORMAT </w:instrText>
    </w:r>
    <w:r>
      <w:fldChar w:fldCharType="separate"/>
    </w:r>
    <w:r>
      <w:rPr>
        <w:lang w:val="zh-CN"/>
      </w:rPr>
      <w:t>7</w:t>
    </w:r>
    <w:r>
      <w:rPr>
        <w:lang w:val="zh-CN"/>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SystemFonts/>
  <w:bordersDoNotSurroundHeader w:val="0"/>
  <w:bordersDoNotSurroundFooter w:val="0"/>
  <w:hideSpellingErrors/>
  <w:hideGrammaticalErrors/>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66A"/>
    <w:rsid w:val="00043986"/>
    <w:rsid w:val="00785D14"/>
    <w:rsid w:val="00873937"/>
    <w:rsid w:val="00954A16"/>
    <w:rsid w:val="00A94745"/>
    <w:rsid w:val="00B26A96"/>
    <w:rsid w:val="00D0266A"/>
    <w:rsid w:val="00DC78C7"/>
    <w:rsid w:val="00ED2C69"/>
    <w:rsid w:val="057A342F"/>
    <w:rsid w:val="0B9E129E"/>
    <w:rsid w:val="14D41581"/>
    <w:rsid w:val="16317A78"/>
    <w:rsid w:val="17EA2BB3"/>
    <w:rsid w:val="18F641CC"/>
    <w:rsid w:val="1B811695"/>
    <w:rsid w:val="1EF97A07"/>
    <w:rsid w:val="1F9D516C"/>
    <w:rsid w:val="230C5CE8"/>
    <w:rsid w:val="25DD1B1F"/>
    <w:rsid w:val="284827A1"/>
    <w:rsid w:val="29DA5136"/>
    <w:rsid w:val="2FE13F5D"/>
    <w:rsid w:val="349F1B61"/>
    <w:rsid w:val="35265DED"/>
    <w:rsid w:val="35D703D8"/>
    <w:rsid w:val="39CC6DF4"/>
    <w:rsid w:val="3E903BA3"/>
    <w:rsid w:val="3F4E25F9"/>
    <w:rsid w:val="3FEE07F8"/>
    <w:rsid w:val="4780688E"/>
    <w:rsid w:val="48877B7D"/>
    <w:rsid w:val="48F35631"/>
    <w:rsid w:val="49007529"/>
    <w:rsid w:val="4A4D1A90"/>
    <w:rsid w:val="4B0C4CF4"/>
    <w:rsid w:val="53D06B38"/>
    <w:rsid w:val="53FA54B9"/>
    <w:rsid w:val="5CAB6179"/>
    <w:rsid w:val="609603C4"/>
    <w:rsid w:val="651C040D"/>
    <w:rsid w:val="65227E98"/>
    <w:rsid w:val="666B22F3"/>
    <w:rsid w:val="66D72939"/>
    <w:rsid w:val="67B84ACB"/>
    <w:rsid w:val="6A986739"/>
    <w:rsid w:val="6AB1717D"/>
    <w:rsid w:val="72D2327E"/>
    <w:rsid w:val="73CF637C"/>
    <w:rsid w:val="741E3F43"/>
    <w:rsid w:val="7560709F"/>
    <w:rsid w:val="78446F6D"/>
    <w:rsid w:val="78FD327E"/>
    <w:rsid w:val="7ABB0F6A"/>
    <w:rsid w:val="7CC722F8"/>
    <w:rsid w:val="9BDF1828"/>
    <w:rsid w:val="DBFFE9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iPriority="99" w:name="index heading"/>
    <w:lsdException w:qFormat="1"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unhideWhenUsed/>
    <w:qFormat/>
    <w:uiPriority w:val="9"/>
    <w:pPr>
      <w:keepNext/>
      <w:keepLines/>
      <w:spacing w:before="260" w:after="260" w:line="415" w:lineRule="auto"/>
      <w:outlineLvl w:val="1"/>
    </w:pPr>
    <w:rPr>
      <w:rFonts w:ascii="Arial" w:hAnsi="Arial" w:eastAsia="黑体"/>
      <w:b/>
      <w:sz w:val="32"/>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caption"/>
    <w:basedOn w:val="1"/>
    <w:next w:val="1"/>
    <w:unhideWhenUsed/>
    <w:qFormat/>
    <w:uiPriority w:val="0"/>
    <w:rPr>
      <w:rFonts w:ascii="Arial" w:hAnsi="Arial" w:eastAsia="黑体"/>
      <w:sz w:val="20"/>
    </w:rPr>
  </w:style>
  <w:style w:type="paragraph" w:styleId="4">
    <w:name w:val="annotation text"/>
    <w:basedOn w:val="1"/>
    <w:qFormat/>
    <w:uiPriority w:val="99"/>
    <w:pPr>
      <w:jc w:val="left"/>
    </w:pPr>
    <w:rPr>
      <w:kern w:val="0"/>
      <w:sz w:val="20"/>
    </w:rPr>
  </w:style>
  <w:style w:type="paragraph" w:styleId="5">
    <w:name w:val="Body Text"/>
    <w:basedOn w:val="1"/>
    <w:semiHidden/>
    <w:qFormat/>
    <w:uiPriority w:val="0"/>
    <w:rPr>
      <w:rFonts w:ascii="宋体" w:hAnsi="宋体" w:eastAsia="宋体" w:cs="宋体"/>
      <w:sz w:val="21"/>
      <w:szCs w:val="21"/>
      <w:lang w:val="en-US" w:eastAsia="en-US" w:bidi="ar-SA"/>
    </w:rPr>
  </w:style>
  <w:style w:type="paragraph" w:styleId="6">
    <w:name w:val="footer"/>
    <w:basedOn w:val="1"/>
    <w:qFormat/>
    <w:uiPriority w:val="99"/>
    <w:pPr>
      <w:tabs>
        <w:tab w:val="center" w:pos="4153"/>
        <w:tab w:val="right" w:pos="8306"/>
      </w:tabs>
      <w:snapToGrid w:val="0"/>
      <w:jc w:val="left"/>
    </w:pPr>
    <w:rPr>
      <w:kern w:val="0"/>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table" w:styleId="10">
    <w:name w:val="Table Grid"/>
    <w:basedOn w:val="9"/>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22"/>
    <w:rPr>
      <w:b/>
    </w:rPr>
  </w:style>
  <w:style w:type="character" w:styleId="13">
    <w:name w:val="annotation reference"/>
    <w:qFormat/>
    <w:uiPriority w:val="99"/>
    <w:rPr>
      <w:sz w:val="21"/>
      <w:szCs w:val="21"/>
    </w:rPr>
  </w:style>
  <w:style w:type="paragraph" w:customStyle="1" w:styleId="14">
    <w:name w:val="公文二级"/>
    <w:basedOn w:val="1"/>
    <w:link w:val="15"/>
    <w:qFormat/>
    <w:uiPriority w:val="0"/>
    <w:pPr>
      <w:spacing w:line="560" w:lineRule="exact"/>
      <w:ind w:firstLine="640" w:firstLineChars="200"/>
      <w:outlineLvl w:val="1"/>
    </w:pPr>
    <w:rPr>
      <w:rFonts w:ascii="方正楷体_GB2312" w:hAnsi="方正楷体_GB2312" w:eastAsia="方正楷体_GBK"/>
      <w:sz w:val="32"/>
      <w:szCs w:val="32"/>
    </w:rPr>
  </w:style>
  <w:style w:type="character" w:customStyle="1" w:styleId="15">
    <w:name w:val="公文二级 Char"/>
    <w:link w:val="14"/>
    <w:qFormat/>
    <w:uiPriority w:val="0"/>
    <w:rPr>
      <w:rFonts w:ascii="方正楷体_GB2312" w:hAnsi="方正楷体_GB2312" w:eastAsia="方正楷体_GBK"/>
      <w:sz w:val="32"/>
      <w:szCs w:val="32"/>
    </w:rPr>
  </w:style>
  <w:style w:type="paragraph" w:customStyle="1" w:styleId="16">
    <w:name w:val="公文一级"/>
    <w:basedOn w:val="1"/>
    <w:qFormat/>
    <w:uiPriority w:val="0"/>
    <w:pPr>
      <w:spacing w:line="560" w:lineRule="exact"/>
      <w:ind w:firstLine="640" w:firstLineChars="200"/>
      <w:outlineLvl w:val="0"/>
    </w:pPr>
    <w:rPr>
      <w:rFonts w:ascii="黑体" w:hAnsi="黑体" w:eastAsia="黑体"/>
      <w:kern w:val="0"/>
      <w:sz w:val="32"/>
      <w:szCs w:val="32"/>
    </w:rPr>
  </w:style>
  <w:style w:type="paragraph" w:customStyle="1" w:styleId="17">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18">
    <w:name w:val="标准文件_段"/>
    <w:basedOn w:val="1"/>
    <w:link w:val="19"/>
    <w:qFormat/>
    <w:uiPriority w:val="0"/>
    <w:pPr>
      <w:widowControl/>
      <w:autoSpaceDE w:val="0"/>
      <w:autoSpaceDN w:val="0"/>
      <w:ind w:firstLine="200" w:firstLineChars="200"/>
    </w:pPr>
    <w:rPr>
      <w:rFonts w:hint="eastAsia" w:ascii="宋体"/>
      <w:kern w:val="0"/>
    </w:rPr>
  </w:style>
  <w:style w:type="character" w:customStyle="1" w:styleId="19">
    <w:name w:val="标准文件_段 Char"/>
    <w:basedOn w:val="11"/>
    <w:link w:val="18"/>
    <w:qFormat/>
    <w:uiPriority w:val="0"/>
    <w:rPr>
      <w:rFonts w:hint="eastAsia" w:ascii="宋体" w:hAnsi="Times New Roman" w:eastAsia="宋体" w:cs="宋体"/>
      <w:sz w:val="21"/>
    </w:rPr>
  </w:style>
  <w:style w:type="paragraph" w:customStyle="1" w:styleId="20">
    <w:name w:val="Revision_6f55859f-b898-449b-849d-fa9e96c3b781"/>
    <w:qFormat/>
    <w:uiPriority w:val="99"/>
    <w:rPr>
      <w:rFonts w:ascii="Times New Roman" w:hAnsi="Times New Roman" w:eastAsia="宋体" w:cs="Times New Roman"/>
      <w:kern w:val="2"/>
      <w:sz w:val="21"/>
      <w:lang w:val="en-US" w:eastAsia="zh-CN" w:bidi="ar-SA"/>
    </w:rPr>
  </w:style>
  <w:style w:type="paragraph" w:customStyle="1" w:styleId="21">
    <w:name w:val="Revision"/>
    <w:hidden/>
    <w:semiHidden/>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actReview xmlns="http://schemas.wps.cn/vas-ai-hub/contract-review">
  <reviewItems>
    <reviewItem>
      <errorID>4c566ed9-e2b4-4cd5-a696-861a98ad85fd</errorID>
      <errorWord>制定计划</errorWord>
      <group>L1_Knowledge</group>
      <groupName>知识性问题</groupName>
      <ability>L2_Knowledge</ability>
      <abilityName>其他知识</abilityName>
      <candidateList>
        <item>制订计划</item>
      </candidateList>
      <explain/>
      <paraID> B24D3EF</paraID>
      <start>27</start>
      <end>31</end>
      <status>unmodified</status>
      <modifiedWord/>
      <trackRevisions>false</trackRevisions>
    </reviewItem>
    <reviewItem>
      <errorID>2a8d5514-24f1-496e-8981-287a9ade9bd6</errorID>
      <errorWord>》通知</errorWord>
      <group>L1_AI</group>
      <groupName>深度校对</groupName>
      <ability>L2_AI_Grammar</ability>
      <abilityName>语法纠错</abilityName>
      <candidateList>
        <item>》</item>
      </candidateList>
      <explain/>
      <paraID> B24D3EF</paraID>
      <start>31</start>
      <end>34</end>
      <status>unmodified</status>
      <modifiedWord/>
      <trackRevisions>false</trackRevisions>
    </reviewItem>
    <reviewItem>
      <errorID>a917c9aa-3a37-4db8-bc35-7da82853679b</errorID>
      <errorWord>亟需</errorWord>
      <group>L1_Word</group>
      <groupName>字词问题</groupName>
      <ability>L2_Typo</ability>
      <abilityName>字词错误</abilityName>
      <candidateList>
        <item>亟须</item>
      </candidateList>
      <explain/>
      <paraID> 292DB44</paraID>
      <start>69</start>
      <end>71</end>
      <status>unmodified</status>
      <modifiedWord/>
      <trackRevisions>false</trackRevisions>
    </reviewItem>
    <reviewItem>
      <errorID>452f248e-56e6-45f5-ac68-db85bbb54d76</errorID>
      <errorWord>制定计划</errorWord>
      <group>L1_Knowledge</group>
      <groupName>知识性问题</groupName>
      <ability>L2_Knowledge</ability>
      <abilityName>其他知识</abilityName>
      <candidateList>
        <item>制订计划</item>
      </candidateList>
      <explain/>
      <paraID>1ED30B66</paraID>
      <start>27</start>
      <end>31</end>
      <status>unmodified</status>
      <modifiedWord/>
      <trackRevisions>false</trackRevisions>
    </reviewItem>
    <reviewItem>
      <errorID>65802817-9ac0-4fe2-92f5-dbbe62944897</errorID>
      <errorWord> </errorWord>
      <group>L1_AI</group>
      <groupName>深度校对</groupName>
      <ability>L2_AI_Punc</ability>
      <abilityName>标点纠错</abilityName>
      <candidateList>
        <item>·</item>
      </candidateList>
      <explain/>
      <paraID>12E4F9A4</paraID>
      <start>42</start>
      <end>43</end>
      <status>unmodified</status>
      <modifiedWord/>
      <trackRevisions>false</trackRevisions>
    </reviewItem>
    <reviewItem>
      <errorID>2138b952-e613-4ec8-81a0-1bf6e3d9ee15</errorID>
      <errorWord> </errorWord>
      <group>L1_AI</group>
      <groupName>深度校对</groupName>
      <ability>L2_AI_Punc</ability>
      <abilityName>标点纠错</abilityName>
      <candidateList>
        <item>·</item>
      </candidateList>
      <explain/>
      <paraID>12E4F9A4</paraID>
      <start>58</start>
      <end>59</end>
      <status>unmodified</status>
      <modifiedWord/>
      <trackRevisions>false</trackRevisions>
    </reviewItem>
    <reviewItem>
      <errorID>1db4e9d5-0ec0-451c-a73b-b78d79c912eb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24432B73</paraID>
      <start>29</start>
      <end>32</end>
      <status>unmodified</status>
      <modifiedWord/>
      <trackRevisions>false</trackRevisions>
    </reviewItem>
    <reviewItem>
      <errorID>6627aaff-3cab-4f02-aff5-09b583295cb0</errorID>
      <errorWord>核心</errorWord>
      <group>L1_AI</group>
      <groupName>深度校对</groupName>
      <ability>L2_AI_Word</ability>
      <abilityName>字词纠错</abilityName>
      <candidateList>
        <item>的核心</item>
      </candidateList>
      <explain/>
      <paraID>35B8D759</paraID>
      <start>12</start>
      <end>17</end>
      <status>modified</status>
      <modifiedWord>的核心</modifiedWord>
      <trackRevisions>true</trackRevisions>
    </reviewItem>
    <reviewItem>
      <errorID>a4bd11e7-4ac6-49f1-919e-8751930191c7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1E4A76A0</paraID>
      <start>17</start>
      <end>20</end>
      <status>unmodified</status>
      <modifiedWord/>
      <trackRevisions>false</trackRevisions>
    </reviewItem>
  </reviewItems>
  <config/>
</contractReview>
</file>

<file path=customXml/item2.xml><?xml version="1.0" encoding="utf-8"?>
<mcd:customData xmlns:mcd="http://www.wps.cn/android/officeDocument/2013/mofficeCustomData" version="2">
  <mcd:comments xmlns:mcd="http://www.wps.cn/android/officeDocument/2013/mofficeCustomData"/>
</mcd:customData>
</file>

<file path=customXml/itemProps1.xml><?xml version="1.0" encoding="utf-8"?>
<ds:datastoreItem xmlns:ds="http://schemas.openxmlformats.org/officeDocument/2006/customXml" ds:itemID="{73b06cc9-fb43-4fd6-ba52-120623580ca2}">
  <ds:schemaRefs/>
</ds:datastoreItem>
</file>

<file path=customXml/itemProps2.xml><?xml version="1.0" encoding="utf-8"?>
<ds:datastoreItem xmlns:ds="http://schemas.openxmlformats.org/officeDocument/2006/customXml" ds:itemID="{8A582623-46C0-4B96-BF79-E9E44250E971}">
  <ds:schemaRefs/>
</ds:datastoreItem>
</file>

<file path=docProps/app.xml><?xml version="1.0" encoding="utf-8"?>
<Properties xmlns="http://schemas.openxmlformats.org/officeDocument/2006/extended-properties" xmlns:vt="http://schemas.openxmlformats.org/officeDocument/2006/docPropsVTypes">
  <Template>Normal.dotm</Template>
  <Company>佛山市民政局</Company>
  <Pages>13</Pages>
  <Words>6458</Words>
  <Characters>6752</Characters>
  <Lines>43</Lines>
  <Paragraphs>12</Paragraphs>
  <TotalTime>37</TotalTime>
  <ScaleCrop>false</ScaleCrop>
  <LinksUpToDate>false</LinksUpToDate>
  <CharactersWithSpaces>6798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2025-04-15T15:38:00Z</dcterms:created>
  <dc:creator>gaojun</dc:creator>
  <cp:lastModifiedBy>Lenovo</cp:lastModifiedBy>
  <cp:lastPrinted>2025-07-03T09:26:00Z</cp:lastPrinted>
  <dcterms:modified xsi:type="dcterms:W3CDTF">2026-06-17T06:20:15Z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E2E2A94828F241269E539299B3419F51_13</vt:lpwstr>
  </property>
  <property fmtid="{D5CDD505-2E9C-101B-9397-08002B2CF9AE}" pid="4" name="KSOTemplateDocerSaveRecord">
    <vt:lpwstr>eyJoZGlkIjoiMzA5NjkxMWExNjA5NTJkOGNhYTJkZTM2MzkwZjE2YTUiLCJ1c2VySWQiOiIyNDkwMTMwNjcifQ==</vt:lpwstr>
  </property>
</Properties>
</file>