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333E4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09" w:type="dxa"/>
          </w:tcPr>
          <w:p w14:paraId="33BF99E5">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7765CFE6">
            <w:pPr>
              <w:pStyle w:val="18"/>
              <w:framePr w:wrap="notBeside" w:vAnchor="page" w:hAnchor="page" w:x="1372" w:y="568"/>
              <w:tabs>
                <w:tab w:val="clear" w:pos="4153"/>
                <w:tab w:val="clear" w:pos="8306"/>
              </w:tabs>
              <w:spacing w:line="240" w:lineRule="auto"/>
              <w:ind w:left="3"/>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03.080.99</w:t>
            </w:r>
            <w:r>
              <w:rPr>
                <w:rFonts w:ascii="黑体" w:hAnsi="黑体" w:eastAsia="黑体"/>
                <w:sz w:val="21"/>
                <w:szCs w:val="21"/>
              </w:rPr>
              <w:fldChar w:fldCharType="end"/>
            </w:r>
            <w:bookmarkEnd w:id="0"/>
          </w:p>
        </w:tc>
      </w:tr>
      <w:tr w14:paraId="4525C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BCFEE92">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4ACF7B00">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 16</w:t>
            </w:r>
            <w:r>
              <w:rPr>
                <w:rFonts w:ascii="黑体" w:hAnsi="黑体" w:eastAsia="黑体"/>
                <w:sz w:val="21"/>
                <w:szCs w:val="21"/>
              </w:rPr>
              <w:fldChar w:fldCharType="end"/>
            </w:r>
            <w:bookmarkEnd w:id="1"/>
          </w:p>
        </w:tc>
      </w:tr>
    </w:tbl>
    <w:tbl>
      <w:tblPr>
        <w:tblStyle w:val="27"/>
        <w:tblpPr w:leftFromText="181" w:rightFromText="181" w:horzAnchor="margin" w:tblpX="3857" w:tblpY="56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90"/>
      </w:tblGrid>
      <w:tr w14:paraId="00FA988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4990" w:type="dxa"/>
          </w:tcPr>
          <w:p w14:paraId="5554A35B">
            <w:pPr>
              <w:pStyle w:val="49"/>
              <w:framePr w:w="0" w:hRule="auto" w:wrap="auto" w:vAnchor="margin" w:hAnchor="text" w:xAlign="left" w:yAlign="inline"/>
              <w:ind w:firstLine="420"/>
            </w:pPr>
            <w:bookmarkStart w:id="2" w:name="_Hlk26473981"/>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MZ</w:t>
            </w:r>
            <w:r>
              <w:fldChar w:fldCharType="end"/>
            </w:r>
            <w:bookmarkEnd w:id="3"/>
          </w:p>
        </w:tc>
      </w:tr>
    </w:tbl>
    <w:p w14:paraId="568FB15D">
      <w:pPr>
        <w:pStyle w:val="50"/>
        <w:framePr w:w="9639" w:h="624" w:hRule="exact" w:hSpace="181" w:vSpace="181" w:wrap="around" w:hAnchor="page" w:x="1305" w:y="2269"/>
        <w:rPr>
          <w:rFonts w:ascii="黑体" w:hAnsi="黑体" w:eastAsia="黑体"/>
          <w:b w:val="0"/>
          <w:bCs w:val="0"/>
          <w:w w:val="100"/>
          <w:sz w:val="48"/>
          <w:szCs w:val="48"/>
        </w:rPr>
      </w:pPr>
      <w:r>
        <w:rPr>
          <w:rFonts w:hint="eastAsia" w:ascii="黑体" w:hAnsi="黑体" w:eastAsia="黑体"/>
          <w:b w:val="0"/>
          <w:bCs w:val="0"/>
          <w:w w:val="100"/>
          <w:sz w:val="48"/>
          <w:szCs w:val="48"/>
        </w:rPr>
        <w:t>中华人民共和国</w:t>
      </w:r>
      <w:r>
        <w:rPr>
          <w:rFonts w:ascii="黑体" w:eastAsia="黑体"/>
          <w:b w:val="0"/>
          <w:bCs w:val="0"/>
          <w:w w:val="100"/>
          <w:sz w:val="48"/>
        </w:rPr>
        <w:fldChar w:fldCharType="begin">
          <w:ffData>
            <w:name w:val="c2"/>
            <w:enabled/>
            <w:calcOnExit w:val="0"/>
            <w:textInput/>
          </w:ffData>
        </w:fldChar>
      </w:r>
      <w:bookmarkStart w:id="4" w:name="c2"/>
      <w:r>
        <w:rPr>
          <w:rFonts w:ascii="黑体" w:eastAsia="黑体"/>
          <w:b w:val="0"/>
          <w:bCs w:val="0"/>
          <w:w w:val="100"/>
          <w:sz w:val="48"/>
        </w:rPr>
        <w:instrText xml:space="preserve"> FORMTEXT </w:instrText>
      </w:r>
      <w:r>
        <w:rPr>
          <w:rFonts w:ascii="黑体" w:eastAsia="黑体"/>
          <w:b w:val="0"/>
          <w:bCs w:val="0"/>
          <w:w w:val="100"/>
          <w:sz w:val="48"/>
        </w:rPr>
        <w:fldChar w:fldCharType="separate"/>
      </w:r>
      <w:r>
        <w:rPr>
          <w:rFonts w:hint="eastAsia" w:ascii="黑体" w:eastAsia="黑体"/>
          <w:b w:val="0"/>
          <w:bCs w:val="0"/>
          <w:w w:val="100"/>
          <w:sz w:val="48"/>
        </w:rPr>
        <w:t>民政</w:t>
      </w:r>
      <w:r>
        <w:rPr>
          <w:rFonts w:ascii="黑体" w:eastAsia="黑体"/>
          <w:b w:val="0"/>
          <w:bCs w:val="0"/>
          <w:w w:val="100"/>
          <w:sz w:val="48"/>
        </w:rPr>
        <w:fldChar w:fldCharType="end"/>
      </w:r>
      <w:bookmarkEnd w:id="4"/>
      <w:r>
        <w:rPr>
          <w:rFonts w:hint="eastAsia" w:ascii="黑体" w:hAnsi="黑体" w:eastAsia="黑体"/>
          <w:b w:val="0"/>
          <w:bCs w:val="0"/>
          <w:w w:val="100"/>
          <w:sz w:val="48"/>
          <w:szCs w:val="48"/>
        </w:rPr>
        <w:t>行业标准</w:t>
      </w:r>
    </w:p>
    <w:bookmarkEnd w:id="2"/>
    <w:p w14:paraId="500A4DB5">
      <w:pPr>
        <w:pStyle w:val="195"/>
        <w:rPr>
          <w:lang w:val="fr-FR"/>
        </w:rPr>
      </w:pP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MZ</w:t>
      </w:r>
      <w:r>
        <w:rPr>
          <w:lang w:val="fr-FR"/>
        </w:rPr>
        <w:t>/T</w:t>
      </w:r>
      <w:r>
        <w:fldChar w:fldCharType="end"/>
      </w:r>
      <w:bookmarkEnd w:id="5"/>
      <w:r>
        <w:rPr>
          <w:lang w:val="fr-FR"/>
        </w:rPr>
        <w:t xml:space="preserve"> </w:t>
      </w:r>
      <w:r>
        <w:fldChar w:fldCharType="begin">
          <w:ffData>
            <w:name w:val="NSTD_CODE_F"/>
            <w:enabled/>
            <w:calcOnExit w:val="0"/>
            <w:textInput>
              <w:default w:val="XXXXX"/>
            </w:textInput>
          </w:ffData>
        </w:fldChar>
      </w:r>
      <w:bookmarkStart w:id="6" w:name="NSTD_CODE_F"/>
      <w:r>
        <w:rPr>
          <w:lang w:val="fr-FR"/>
        </w:rPr>
        <w:instrText xml:space="preserve"> FORMTEXT </w:instrText>
      </w:r>
      <w:r>
        <w:fldChar w:fldCharType="separate"/>
      </w:r>
      <w:r>
        <w:rPr>
          <w:lang w:val="fr-FR"/>
        </w:rPr>
        <w:t>XXXXX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62843EC0">
      <w:pPr>
        <w:pStyle w:val="196"/>
        <w:rPr>
          <w:rFonts w:hAnsi="黑体"/>
          <w:lang w:val="fr-FR"/>
        </w:rPr>
      </w:pPr>
      <w:r>
        <w:rPr>
          <w:rFonts w:hAnsi="黑体"/>
        </w:rPr>
        <w:fldChar w:fldCharType="begin">
          <w:ffData>
            <w:name w:val="OSTD_CODE"/>
            <w:enabled/>
            <w:calcOnExit w:val="0"/>
            <w:textInput/>
          </w:ffData>
        </w:fldChar>
      </w:r>
      <w:bookmarkStart w:id="8" w:name="OSTD_CODE"/>
      <w:r>
        <w:rPr>
          <w:rFonts w:hAnsi="黑体"/>
          <w:lang w:val="fr-FR"/>
        </w:rPr>
        <w:instrText xml:space="preserve"> FORMTEXT </w:instrText>
      </w:r>
      <w:r>
        <w:rPr>
          <w:rFonts w:hAnsi="黑体"/>
        </w:rPr>
        <w:fldChar w:fldCharType="separate"/>
      </w:r>
      <w:r>
        <w:rPr>
          <w:rFonts w:hAnsi="黑体"/>
        </w:rPr>
        <w:t>     </w:t>
      </w:r>
      <w:r>
        <w:rPr>
          <w:rFonts w:hAnsi="黑体"/>
        </w:rPr>
        <w:fldChar w:fldCharType="end"/>
      </w:r>
      <w:bookmarkEnd w:id="8"/>
    </w:p>
    <w:p w14:paraId="6EB5CE9E">
      <w:pPr>
        <w:spacing w:line="240" w:lineRule="auto"/>
        <w:rPr>
          <w:rFonts w:ascii="黑体" w:hAnsi="黑体" w:eastAsia="黑体"/>
          <w:kern w:val="0"/>
          <w:sz w:val="10"/>
          <w:szCs w:val="10"/>
          <w:lang w:val="fr-FR"/>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03DD3367">
      <w:pPr>
        <w:pStyle w:val="50"/>
        <w:framePr w:w="9639" w:h="6976" w:hRule="exact" w:hSpace="0" w:vSpace="0" w:wrap="around" w:hAnchor="page" w:y="6408"/>
        <w:jc w:val="center"/>
        <w:rPr>
          <w:rFonts w:ascii="黑体" w:hAnsi="黑体" w:eastAsia="黑体"/>
          <w:b w:val="0"/>
          <w:bCs w:val="0"/>
          <w:w w:val="100"/>
          <w:lang w:val="fr-FR"/>
        </w:rPr>
      </w:pPr>
    </w:p>
    <w:p w14:paraId="1D03911D">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养老机构清洁卫生服务规范</w:t>
      </w:r>
      <w:r>
        <w:fldChar w:fldCharType="end"/>
      </w:r>
      <w:bookmarkEnd w:id="9"/>
    </w:p>
    <w:p w14:paraId="4C27E1CC">
      <w:pPr>
        <w:framePr w:w="9639" w:h="6974" w:hRule="exact" w:wrap="around" w:vAnchor="page" w:hAnchor="page" w:x="1419" w:y="6408" w:anchorLock="1"/>
        <w:ind w:left="-1418"/>
      </w:pPr>
    </w:p>
    <w:p w14:paraId="782111EE">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Specification for cleaning and sanitation service of senior care organization</w:t>
      </w:r>
      <w:r>
        <w:rPr>
          <w:rFonts w:eastAsia="黑体"/>
          <w:szCs w:val="28"/>
        </w:rPr>
        <w:fldChar w:fldCharType="end"/>
      </w:r>
      <w:bookmarkEnd w:id="10"/>
    </w:p>
    <w:p w14:paraId="0152CCFC">
      <w:pPr>
        <w:framePr w:w="9639" w:h="6974" w:hRule="exact" w:wrap="around" w:vAnchor="page" w:hAnchor="page" w:x="1419" w:y="6408" w:anchorLock="1"/>
        <w:spacing w:line="760" w:lineRule="exact"/>
        <w:ind w:left="-1418"/>
      </w:pPr>
    </w:p>
    <w:p w14:paraId="30F7E728">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11" w:name="IN_STD_CODE"/>
      <w:r>
        <w:rPr>
          <w:rFonts w:eastAsia="黑体"/>
          <w:szCs w:val="28"/>
        </w:rPr>
        <w:instrText xml:space="preserve"> FORMTEXT </w:instrText>
      </w:r>
      <w:r>
        <w:rPr>
          <w:rFonts w:eastAsia="黑体"/>
          <w:szCs w:val="28"/>
        </w:rPr>
        <w:fldChar w:fldCharType="separate"/>
      </w:r>
      <w:r>
        <w:rPr>
          <w:rFonts w:eastAsia="黑体"/>
          <w:szCs w:val="28"/>
        </w:rPr>
        <w:t>     </w:t>
      </w:r>
      <w:r>
        <w:rPr>
          <w:rFonts w:eastAsia="黑体"/>
          <w:szCs w:val="28"/>
        </w:rPr>
        <w:fldChar w:fldCharType="end"/>
      </w:r>
      <w:bookmarkEnd w:id="11"/>
    </w:p>
    <w:p w14:paraId="0A17AD70">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2" w:name="下拉1"/>
      <w:r>
        <w:rPr>
          <w:sz w:val="24"/>
          <w:szCs w:val="28"/>
        </w:rPr>
        <w:instrText xml:space="preserve"> FORMDROPDOWN </w:instrText>
      </w:r>
      <w:r>
        <w:rPr>
          <w:sz w:val="24"/>
          <w:szCs w:val="28"/>
        </w:rPr>
        <w:fldChar w:fldCharType="separate"/>
      </w:r>
      <w:r>
        <w:rPr>
          <w:sz w:val="24"/>
          <w:szCs w:val="28"/>
        </w:rPr>
        <w:fldChar w:fldCharType="end"/>
      </w:r>
      <w:bookmarkEnd w:id="12"/>
    </w:p>
    <w:p w14:paraId="61290E2B">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3" w:name="CMPLSH_DATE"/>
      <w:r>
        <w:rPr>
          <w:sz w:val="21"/>
          <w:szCs w:val="28"/>
        </w:rPr>
        <w:instrText xml:space="preserve"> FORMTEXT </w:instrText>
      </w:r>
      <w:r>
        <w:rPr>
          <w:sz w:val="21"/>
          <w:szCs w:val="28"/>
        </w:rPr>
        <w:fldChar w:fldCharType="separate"/>
      </w:r>
      <w:r>
        <w:rPr>
          <w:rFonts w:hint="eastAsia"/>
          <w:sz w:val="21"/>
          <w:szCs w:val="28"/>
        </w:rPr>
        <w:t>（本草案完成时间：2026.</w:t>
      </w:r>
      <w:r>
        <w:rPr>
          <w:rFonts w:hint="eastAsia"/>
          <w:sz w:val="21"/>
          <w:szCs w:val="28"/>
          <w:lang w:val="en-US" w:eastAsia="zh-CN"/>
        </w:rPr>
        <w:t>6</w:t>
      </w:r>
      <w:r>
        <w:rPr>
          <w:rFonts w:hint="eastAsia"/>
          <w:sz w:val="21"/>
          <w:szCs w:val="28"/>
        </w:rPr>
        <w:t>.</w:t>
      </w:r>
      <w:r>
        <w:rPr>
          <w:rFonts w:hint="eastAsia"/>
          <w:sz w:val="21"/>
          <w:szCs w:val="28"/>
          <w:lang w:val="en-US" w:eastAsia="zh-CN"/>
        </w:rPr>
        <w:t>9</w:t>
      </w:r>
      <w:r>
        <w:rPr>
          <w:rFonts w:hint="eastAsia"/>
          <w:sz w:val="21"/>
          <w:szCs w:val="28"/>
        </w:rPr>
        <w:t>）</w:t>
      </w:r>
      <w:r>
        <w:rPr>
          <w:sz w:val="21"/>
          <w:szCs w:val="28"/>
        </w:rPr>
        <w:fldChar w:fldCharType="end"/>
      </w:r>
      <w:bookmarkEnd w:id="13"/>
    </w:p>
    <w:p w14:paraId="3AB695F3">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4" w:name="下拉2"/>
      <w:r>
        <w:rPr>
          <w:b/>
          <w:sz w:val="21"/>
          <w:szCs w:val="28"/>
        </w:rPr>
        <w:instrText xml:space="preserve"> FORMDROPDOWN </w:instrText>
      </w:r>
      <w:r>
        <w:rPr>
          <w:b/>
          <w:sz w:val="21"/>
          <w:szCs w:val="28"/>
        </w:rPr>
        <w:fldChar w:fldCharType="separate"/>
      </w:r>
      <w:r>
        <w:rPr>
          <w:b/>
          <w:sz w:val="21"/>
          <w:szCs w:val="28"/>
        </w:rPr>
        <w:fldChar w:fldCharType="end"/>
      </w:r>
      <w:bookmarkEnd w:id="14"/>
    </w:p>
    <w:p w14:paraId="06548BD0">
      <w:pPr>
        <w:pStyle w:val="193"/>
        <w:framePr w:wrap="around" w:y="14176"/>
      </w:pPr>
      <w:r>
        <w:rPr>
          <w:rFonts w:ascii="黑体"/>
        </w:rPr>
        <w:fldChar w:fldCharType="begin">
          <w:ffData>
            <w:name w:val="PLSH_DATE_Y"/>
            <w:enabled/>
            <w:calcOnExit w:val="0"/>
            <w:textInput>
              <w:default w:val="XXXX"/>
              <w:maxLength w:val="4"/>
            </w:textInput>
          </w:ffData>
        </w:fldChar>
      </w:r>
      <w:bookmarkStart w:id="15"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6"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7"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发布</w:t>
      </w:r>
    </w:p>
    <w:p w14:paraId="77CC98FF">
      <w:pPr>
        <w:pStyle w:val="194"/>
        <w:framePr w:wrap="around" w:y="14176"/>
      </w:pPr>
      <w:r>
        <w:rPr>
          <w:rFonts w:ascii="黑体"/>
        </w:rPr>
        <w:fldChar w:fldCharType="begin">
          <w:ffData>
            <w:name w:val="CROT_DATE_Y"/>
            <w:enabled/>
            <w:calcOnExit w:val="0"/>
            <w:textInput>
              <w:default w:val="XXXX"/>
              <w:maxLength w:val="4"/>
            </w:textInput>
          </w:ffData>
        </w:fldChar>
      </w:r>
      <w:bookmarkStart w:id="18"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8"/>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9"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0"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20"/>
      <w:r>
        <w:rPr>
          <w:rFonts w:hint="eastAsia"/>
        </w:rPr>
        <w:t>实施</w:t>
      </w:r>
    </w:p>
    <w:p w14:paraId="0E85247D">
      <w:pPr>
        <w:pStyle w:val="151"/>
        <w:framePr w:h="584" w:hRule="exact" w:hSpace="181" w:vSpace="181" w:wrap="around" w:y="14800"/>
        <w:rPr>
          <w:rFonts w:hAnsi="黑体"/>
        </w:rPr>
      </w:pPr>
      <w:r>
        <w:rPr>
          <w:rFonts w:hAnsi="黑体"/>
          <w:w w:val="100"/>
          <w:sz w:val="28"/>
        </w:rPr>
        <w:fldChar w:fldCharType="begin">
          <w:ffData>
            <w:name w:val="fm"/>
            <w:enabled/>
            <w:calcOnExit w:val="0"/>
            <w:textInput/>
          </w:ffData>
        </w:fldChar>
      </w:r>
      <w:bookmarkStart w:id="21"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中华人民共和国民政部</w:t>
      </w:r>
      <w:r>
        <w:rPr>
          <w:rFonts w:hAnsi="黑体"/>
          <w:w w:val="100"/>
          <w:sz w:val="28"/>
        </w:rPr>
        <w:fldChar w:fldCharType="end"/>
      </w:r>
      <w:bookmarkEnd w:id="21"/>
      <w:r>
        <w:rPr>
          <w:rFonts w:ascii="Times New Roman"/>
          <w:w w:val="100"/>
          <w:sz w:val="28"/>
          <w:szCs w:val="28"/>
        </w:rPr>
        <w:t>  </w:t>
      </w:r>
      <w:r>
        <w:rPr>
          <w:rStyle w:val="229"/>
          <w:rFonts w:hint="eastAsia" w:hAnsi="黑体"/>
          <w:position w:val="0"/>
        </w:rPr>
        <w:t>发</w:t>
      </w:r>
      <w:r>
        <w:rPr>
          <w:rStyle w:val="229"/>
          <w:rFonts w:hint="eastAsia" w:hAnsi="黑体"/>
          <w:spacing w:val="0"/>
          <w:position w:val="0"/>
        </w:rPr>
        <w:t>布</w:t>
      </w:r>
    </w:p>
    <w:p w14:paraId="235B10FC">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021"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ADD0F74">
      <w:pPr>
        <w:pStyle w:val="91"/>
        <w:spacing w:after="360"/>
      </w:pPr>
      <w:bookmarkStart w:id="22" w:name="BookMark1"/>
      <w:r>
        <w:rPr>
          <w:rFonts w:hint="eastAsia"/>
          <w:spacing w:val="320"/>
        </w:rPr>
        <w:t>目</w:t>
      </w:r>
      <w:r>
        <w:rPr>
          <w:rFonts w:hint="eastAsia"/>
        </w:rPr>
        <w:t>次</w:t>
      </w:r>
    </w:p>
    <w:p w14:paraId="0AD9BD63">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"_Toc224251259" </w:instrText>
      </w:r>
      <w:r>
        <w:fldChar w:fldCharType="separate"/>
      </w:r>
      <w:r>
        <w:rPr>
          <w:rStyle w:val="32"/>
          <w:rFonts w:hint="eastAsia"/>
        </w:rPr>
        <w:t>前言</w:t>
      </w:r>
      <w:r>
        <w:rPr>
          <w:rFonts w:hint="eastAsia"/>
        </w:rPr>
        <w:tab/>
      </w:r>
      <w:r>
        <w:rPr>
          <w:rFonts w:hint="eastAsia"/>
        </w:rPr>
        <w:fldChar w:fldCharType="begin"/>
      </w:r>
      <w:r>
        <w:rPr>
          <w:rFonts w:hint="eastAsia"/>
        </w:rPr>
        <w:instrText xml:space="preserve"> </w:instrText>
      </w:r>
      <w:r>
        <w:instrText xml:space="preserve">PAGEREF _Toc224251259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14:paraId="6B89435A">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"_Toc224251260" </w:instrText>
      </w:r>
      <w:r>
        <w:fldChar w:fldCharType="separate"/>
      </w:r>
      <w:r>
        <w:rPr>
          <w:rStyle w:val="32"/>
          <w:rFonts w:hint="eastAsia"/>
        </w:rPr>
        <w:t>1</w:t>
      </w:r>
      <w:r>
        <w:rPr>
          <w:rStyle w:val="32"/>
        </w:rPr>
        <w:t xml:space="preserve"> </w:t>
      </w:r>
      <w:r>
        <w:rPr>
          <w:rStyle w:val="32"/>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_Toc224251260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2137BDC0">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"_Toc224251261" </w:instrText>
      </w:r>
      <w:r>
        <w:fldChar w:fldCharType="separate"/>
      </w:r>
      <w:r>
        <w:rPr>
          <w:rStyle w:val="32"/>
          <w:rFonts w:hint="eastAsia"/>
        </w:rPr>
        <w:t>2</w:t>
      </w:r>
      <w:r>
        <w:rPr>
          <w:rStyle w:val="32"/>
        </w:rPr>
        <w:t xml:space="preserve"> </w:t>
      </w:r>
      <w:r>
        <w:rPr>
          <w:rStyle w:val="32"/>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_Toc224251261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0331080C">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"_Toc224251262" </w:instrText>
      </w:r>
      <w:r>
        <w:fldChar w:fldCharType="separate"/>
      </w:r>
      <w:r>
        <w:rPr>
          <w:rStyle w:val="32"/>
          <w:rFonts w:hint="eastAsia"/>
        </w:rPr>
        <w:t>3</w:t>
      </w:r>
      <w:r>
        <w:rPr>
          <w:rStyle w:val="32"/>
        </w:rPr>
        <w:t xml:space="preserve"> </w:t>
      </w:r>
      <w:r>
        <w:rPr>
          <w:rStyle w:val="32"/>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_Toc224251262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AEBC0F4">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"_Toc224251263" </w:instrText>
      </w:r>
      <w:r>
        <w:fldChar w:fldCharType="separate"/>
      </w:r>
      <w:r>
        <w:rPr>
          <w:rStyle w:val="32"/>
          <w:rFonts w:hint="eastAsia"/>
        </w:rPr>
        <w:t>4</w:t>
      </w:r>
      <w:r>
        <w:rPr>
          <w:rStyle w:val="32"/>
        </w:rPr>
        <w:t xml:space="preserve"> </w:t>
      </w:r>
      <w:r>
        <w:rPr>
          <w:rStyle w:val="32"/>
          <w:rFonts w:hint="eastAsia"/>
        </w:rPr>
        <w:t xml:space="preserve"> 服务范围</w:t>
      </w:r>
      <w:r>
        <w:rPr>
          <w:rFonts w:hint="eastAsia"/>
        </w:rPr>
        <w:tab/>
      </w:r>
      <w:r>
        <w:rPr>
          <w:rFonts w:hint="eastAsia"/>
        </w:rPr>
        <w:fldChar w:fldCharType="begin"/>
      </w:r>
      <w:r>
        <w:rPr>
          <w:rFonts w:hint="eastAsia"/>
        </w:rPr>
        <w:instrText xml:space="preserve"> </w:instrText>
      </w:r>
      <w:r>
        <w:instrText xml:space="preserve">PAGEREF _Toc224251263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E3E5FA0">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"_Toc224251264" </w:instrText>
      </w:r>
      <w:r>
        <w:fldChar w:fldCharType="separate"/>
      </w:r>
      <w:r>
        <w:rPr>
          <w:rStyle w:val="32"/>
          <w:rFonts w:hint="eastAsia"/>
        </w:rPr>
        <w:t>5</w:t>
      </w:r>
      <w:r>
        <w:rPr>
          <w:rStyle w:val="32"/>
        </w:rPr>
        <w:t xml:space="preserve"> </w:t>
      </w:r>
      <w:r>
        <w:rPr>
          <w:rStyle w:val="32"/>
          <w:rFonts w:hint="eastAsia"/>
        </w:rPr>
        <w:t xml:space="preserve"> 基本要求</w:t>
      </w:r>
      <w:r>
        <w:rPr>
          <w:rFonts w:hint="eastAsia"/>
        </w:rPr>
        <w:tab/>
      </w:r>
      <w:r>
        <w:rPr>
          <w:rFonts w:hint="eastAsia"/>
        </w:rPr>
        <w:fldChar w:fldCharType="begin"/>
      </w:r>
      <w:r>
        <w:rPr>
          <w:rFonts w:hint="eastAsia"/>
        </w:rPr>
        <w:instrText xml:space="preserve"> </w:instrText>
      </w:r>
      <w:r>
        <w:instrText xml:space="preserve">PAGEREF _Toc224251264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B7397E6">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"_Toc224251265" </w:instrText>
      </w:r>
      <w:r>
        <w:fldChar w:fldCharType="separate"/>
      </w:r>
      <w:r>
        <w:rPr>
          <w:rStyle w:val="32"/>
          <w:rFonts w:hint="eastAsia"/>
          <w14:scene3d>
            <w14:lightRig w14:rig="threePt" w14:dir="t">
              <w14:rot w14:lat="0" w14:lon="0" w14:rev="0"/>
            </w14:lightRig>
          </w14:scene3d>
        </w:rPr>
        <w:t>5.1</w:t>
      </w:r>
      <w:r>
        <w:rPr>
          <w:rStyle w:val="32"/>
          <w14:scene3d>
            <w14:lightRig w14:rig="threePt" w14:dir="t">
              <w14:rot w14:lat="0" w14:lon="0" w14:rev="0"/>
            </w14:lightRig>
          </w14:scene3d>
        </w:rPr>
        <w:t xml:space="preserve"> </w:t>
      </w:r>
      <w:r>
        <w:rPr>
          <w:rStyle w:val="32"/>
          <w:rFonts w:hint="eastAsia"/>
        </w:rPr>
        <w:t xml:space="preserve"> 机构要求</w:t>
      </w:r>
      <w:r>
        <w:rPr>
          <w:rFonts w:hint="eastAsia"/>
        </w:rPr>
        <w:tab/>
      </w:r>
      <w:r>
        <w:rPr>
          <w:rFonts w:hint="eastAsia"/>
        </w:rPr>
        <w:fldChar w:fldCharType="begin"/>
      </w:r>
      <w:r>
        <w:rPr>
          <w:rFonts w:hint="eastAsia"/>
        </w:rPr>
        <w:instrText xml:space="preserve"> </w:instrText>
      </w:r>
      <w:r>
        <w:instrText xml:space="preserve">PAGEREF _Toc224251265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C513A78">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"_Toc224251266" </w:instrText>
      </w:r>
      <w:r>
        <w:fldChar w:fldCharType="separate"/>
      </w:r>
      <w:r>
        <w:rPr>
          <w:rStyle w:val="32"/>
          <w:rFonts w:hint="eastAsia"/>
          <w14:scene3d>
            <w14:lightRig w14:rig="threePt" w14:dir="t">
              <w14:rot w14:lat="0" w14:lon="0" w14:rev="0"/>
            </w14:lightRig>
          </w14:scene3d>
        </w:rPr>
        <w:t>5.2</w:t>
      </w:r>
      <w:r>
        <w:rPr>
          <w:rStyle w:val="32"/>
          <w14:scene3d>
            <w14:lightRig w14:rig="threePt" w14:dir="t">
              <w14:rot w14:lat="0" w14:lon="0" w14:rev="0"/>
            </w14:lightRig>
          </w14:scene3d>
        </w:rPr>
        <w:t xml:space="preserve"> </w:t>
      </w:r>
      <w:r>
        <w:rPr>
          <w:rStyle w:val="32"/>
          <w:rFonts w:hint="eastAsia"/>
        </w:rPr>
        <w:t xml:space="preserve"> 人员要求</w:t>
      </w:r>
      <w:r>
        <w:rPr>
          <w:rFonts w:hint="eastAsia"/>
        </w:rPr>
        <w:tab/>
      </w:r>
      <w:r>
        <w:rPr>
          <w:rFonts w:hint="eastAsia"/>
        </w:rPr>
        <w:fldChar w:fldCharType="begin"/>
      </w:r>
      <w:r>
        <w:rPr>
          <w:rFonts w:hint="eastAsia"/>
        </w:rPr>
        <w:instrText xml:space="preserve"> </w:instrText>
      </w:r>
      <w:r>
        <w:instrText xml:space="preserve">PAGEREF _Toc224251266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584444CA">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"_Toc224251267" </w:instrText>
      </w:r>
      <w:r>
        <w:fldChar w:fldCharType="separate"/>
      </w:r>
      <w:r>
        <w:rPr>
          <w:rStyle w:val="32"/>
          <w:rFonts w:hint="eastAsia"/>
          <w14:scene3d>
            <w14:lightRig w14:rig="threePt" w14:dir="t">
              <w14:rot w14:lat="0" w14:lon="0" w14:rev="0"/>
            </w14:lightRig>
          </w14:scene3d>
        </w:rPr>
        <w:t>5.3</w:t>
      </w:r>
      <w:r>
        <w:rPr>
          <w:rStyle w:val="32"/>
          <w14:scene3d>
            <w14:lightRig w14:rig="threePt" w14:dir="t">
              <w14:rot w14:lat="0" w14:lon="0" w14:rev="0"/>
            </w14:lightRig>
          </w14:scene3d>
        </w:rPr>
        <w:t xml:space="preserve"> </w:t>
      </w:r>
      <w:r>
        <w:rPr>
          <w:rStyle w:val="32"/>
          <w:rFonts w:hint="eastAsia"/>
        </w:rPr>
        <w:t xml:space="preserve"> 服务要求</w:t>
      </w:r>
      <w:r>
        <w:rPr>
          <w:rFonts w:hint="eastAsia"/>
        </w:rPr>
        <w:tab/>
      </w:r>
      <w:r>
        <w:rPr>
          <w:rFonts w:hint="eastAsia"/>
        </w:rPr>
        <w:fldChar w:fldCharType="begin"/>
      </w:r>
      <w:r>
        <w:rPr>
          <w:rFonts w:hint="eastAsia"/>
        </w:rPr>
        <w:instrText xml:space="preserve"> </w:instrText>
      </w:r>
      <w:r>
        <w:instrText xml:space="preserve">PAGEREF _Toc224251267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300BD333">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"_Toc224251268" </w:instrText>
      </w:r>
      <w:r>
        <w:fldChar w:fldCharType="separate"/>
      </w:r>
      <w:r>
        <w:rPr>
          <w:rStyle w:val="32"/>
          <w:rFonts w:hint="eastAsia"/>
          <w14:scene3d>
            <w14:lightRig w14:rig="threePt" w14:dir="t">
              <w14:rot w14:lat="0" w14:lon="0" w14:rev="0"/>
            </w14:lightRig>
          </w14:scene3d>
        </w:rPr>
        <w:t>5.4</w:t>
      </w:r>
      <w:r>
        <w:rPr>
          <w:rStyle w:val="32"/>
          <w14:scene3d>
            <w14:lightRig w14:rig="threePt" w14:dir="t">
              <w14:rot w14:lat="0" w14:lon="0" w14:rev="0"/>
            </w14:lightRig>
          </w14:scene3d>
        </w:rPr>
        <w:t xml:space="preserve"> </w:t>
      </w:r>
      <w:r>
        <w:rPr>
          <w:rStyle w:val="32"/>
          <w:rFonts w:hint="eastAsia"/>
        </w:rPr>
        <w:t xml:space="preserve"> 清洁工具管理要求</w:t>
      </w:r>
      <w:r>
        <w:rPr>
          <w:rFonts w:hint="eastAsia"/>
        </w:rPr>
        <w:tab/>
      </w:r>
      <w:r>
        <w:rPr>
          <w:rFonts w:hint="eastAsia"/>
        </w:rPr>
        <w:fldChar w:fldCharType="begin"/>
      </w:r>
      <w:r>
        <w:rPr>
          <w:rFonts w:hint="eastAsia"/>
        </w:rPr>
        <w:instrText xml:space="preserve"> </w:instrText>
      </w:r>
      <w:r>
        <w:instrText xml:space="preserve">PAGEREF _Toc224251268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EF3A2FA">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"_Toc224251269" </w:instrText>
      </w:r>
      <w:r>
        <w:fldChar w:fldCharType="separate"/>
      </w:r>
      <w:r>
        <w:rPr>
          <w:rStyle w:val="32"/>
          <w:rFonts w:hint="eastAsia"/>
        </w:rPr>
        <w:t>6</w:t>
      </w:r>
      <w:r>
        <w:rPr>
          <w:rStyle w:val="32"/>
        </w:rPr>
        <w:t xml:space="preserve"> </w:t>
      </w:r>
      <w:r>
        <w:rPr>
          <w:rStyle w:val="32"/>
          <w:rFonts w:hint="eastAsia"/>
        </w:rPr>
        <w:t xml:space="preserve"> 服务内容及方法</w:t>
      </w:r>
      <w:r>
        <w:rPr>
          <w:rFonts w:hint="eastAsia"/>
        </w:rPr>
        <w:tab/>
      </w:r>
      <w:r>
        <w:rPr>
          <w:rFonts w:hint="eastAsia"/>
        </w:rPr>
        <w:fldChar w:fldCharType="begin"/>
      </w:r>
      <w:r>
        <w:rPr>
          <w:rFonts w:hint="eastAsia"/>
        </w:rPr>
        <w:instrText xml:space="preserve"> </w:instrText>
      </w:r>
      <w:r>
        <w:instrText xml:space="preserve">PAGEREF _Toc224251269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3BBBDCB">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"_Toc224251270" </w:instrText>
      </w:r>
      <w:r>
        <w:fldChar w:fldCharType="separate"/>
      </w:r>
      <w:r>
        <w:rPr>
          <w:rStyle w:val="32"/>
          <w:rFonts w:hint="eastAsia"/>
          <w14:scene3d>
            <w14:lightRig w14:rig="threePt" w14:dir="t">
              <w14:rot w14:lat="0" w14:lon="0" w14:rev="0"/>
            </w14:lightRig>
          </w14:scene3d>
        </w:rPr>
        <w:t>6.1</w:t>
      </w:r>
      <w:r>
        <w:rPr>
          <w:rStyle w:val="32"/>
          <w14:scene3d>
            <w14:lightRig w14:rig="threePt" w14:dir="t">
              <w14:rot w14:lat="0" w14:lon="0" w14:rev="0"/>
            </w14:lightRig>
          </w14:scene3d>
        </w:rPr>
        <w:t xml:space="preserve"> </w:t>
      </w:r>
      <w:r>
        <w:rPr>
          <w:rStyle w:val="32"/>
          <w:rFonts w:hint="eastAsia"/>
        </w:rPr>
        <w:t xml:space="preserve"> 环境及物体清洁</w:t>
      </w:r>
      <w:r>
        <w:rPr>
          <w:rFonts w:hint="eastAsia"/>
        </w:rPr>
        <w:tab/>
      </w:r>
      <w:r>
        <w:rPr>
          <w:rFonts w:hint="eastAsia"/>
        </w:rPr>
        <w:fldChar w:fldCharType="begin"/>
      </w:r>
      <w:r>
        <w:rPr>
          <w:rFonts w:hint="eastAsia"/>
        </w:rPr>
        <w:instrText xml:space="preserve"> </w:instrText>
      </w:r>
      <w:r>
        <w:instrText xml:space="preserve">PAGEREF _Toc224251270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78C3491D">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"_Toc224251271" </w:instrText>
      </w:r>
      <w:r>
        <w:fldChar w:fldCharType="separate"/>
      </w:r>
      <w:r>
        <w:rPr>
          <w:rStyle w:val="32"/>
          <w:rFonts w:hint="eastAsia"/>
          <w14:scene3d>
            <w14:lightRig w14:rig="threePt" w14:dir="t">
              <w14:rot w14:lat="0" w14:lon="0" w14:rev="0"/>
            </w14:lightRig>
          </w14:scene3d>
        </w:rPr>
        <w:t>6.2</w:t>
      </w:r>
      <w:r>
        <w:rPr>
          <w:rStyle w:val="32"/>
          <w14:scene3d>
            <w14:lightRig w14:rig="threePt" w14:dir="t">
              <w14:rot w14:lat="0" w14:lon="0" w14:rev="0"/>
            </w14:lightRig>
          </w14:scene3d>
        </w:rPr>
        <w:t xml:space="preserve"> </w:t>
      </w:r>
      <w:r>
        <w:rPr>
          <w:rStyle w:val="32"/>
          <w:rFonts w:hint="eastAsia"/>
        </w:rPr>
        <w:t xml:space="preserve"> 垃圾处理</w:t>
      </w:r>
      <w:r>
        <w:rPr>
          <w:rFonts w:hint="eastAsia"/>
        </w:rPr>
        <w:tab/>
      </w:r>
      <w:r>
        <w:rPr>
          <w:rFonts w:hint="eastAsia"/>
        </w:rPr>
        <w:fldChar w:fldCharType="begin"/>
      </w:r>
      <w:r>
        <w:rPr>
          <w:rFonts w:hint="eastAsia"/>
        </w:rPr>
        <w:instrText xml:space="preserve"> </w:instrText>
      </w:r>
      <w:r>
        <w:instrText xml:space="preserve">PAGEREF _Toc224251271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2FA89764">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"_Toc224251272" </w:instrText>
      </w:r>
      <w:r>
        <w:fldChar w:fldCharType="separate"/>
      </w:r>
      <w:r>
        <w:rPr>
          <w:rStyle w:val="32"/>
          <w:rFonts w:hint="eastAsia"/>
          <w14:scene3d>
            <w14:lightRig w14:rig="threePt" w14:dir="t">
              <w14:rot w14:lat="0" w14:lon="0" w14:rev="0"/>
            </w14:lightRig>
          </w14:scene3d>
        </w:rPr>
        <w:t>6.3</w:t>
      </w:r>
      <w:r>
        <w:rPr>
          <w:rStyle w:val="32"/>
          <w14:scene3d>
            <w14:lightRig w14:rig="threePt" w14:dir="t">
              <w14:rot w14:lat="0" w14:lon="0" w14:rev="0"/>
            </w14:lightRig>
          </w14:scene3d>
        </w:rPr>
        <w:t xml:space="preserve"> </w:t>
      </w:r>
      <w:r>
        <w:rPr>
          <w:rStyle w:val="32"/>
          <w:rFonts w:hint="eastAsia"/>
        </w:rPr>
        <w:t xml:space="preserve"> 工具的清洁维护</w:t>
      </w:r>
      <w:r>
        <w:rPr>
          <w:rFonts w:hint="eastAsia"/>
        </w:rPr>
        <w:tab/>
      </w:r>
      <w:r>
        <w:rPr>
          <w:rFonts w:hint="eastAsia"/>
        </w:rPr>
        <w:fldChar w:fldCharType="begin"/>
      </w:r>
      <w:r>
        <w:rPr>
          <w:rFonts w:hint="eastAsia"/>
        </w:rPr>
        <w:instrText xml:space="preserve"> </w:instrText>
      </w:r>
      <w:r>
        <w:instrText xml:space="preserve">PAGEREF _Toc224251272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5056A4C0">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"_Toc224251273" </w:instrText>
      </w:r>
      <w:r>
        <w:fldChar w:fldCharType="separate"/>
      </w:r>
      <w:r>
        <w:rPr>
          <w:rStyle w:val="32"/>
          <w:rFonts w:hint="eastAsia"/>
        </w:rPr>
        <w:t>7</w:t>
      </w:r>
      <w:r>
        <w:rPr>
          <w:rStyle w:val="32"/>
        </w:rPr>
        <w:t xml:space="preserve"> </w:t>
      </w:r>
      <w:r>
        <w:rPr>
          <w:rStyle w:val="32"/>
          <w:rFonts w:hint="eastAsia"/>
        </w:rPr>
        <w:t xml:space="preserve"> 服务流程</w:t>
      </w:r>
      <w:r>
        <w:rPr>
          <w:rFonts w:hint="eastAsia"/>
        </w:rPr>
        <w:tab/>
      </w:r>
      <w:r>
        <w:rPr>
          <w:rFonts w:hint="eastAsia"/>
        </w:rPr>
        <w:fldChar w:fldCharType="begin"/>
      </w:r>
      <w:r>
        <w:rPr>
          <w:rFonts w:hint="eastAsia"/>
        </w:rPr>
        <w:instrText xml:space="preserve"> </w:instrText>
      </w:r>
      <w:r>
        <w:instrText xml:space="preserve">PAGEREF _Toc224251273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D1CDC46">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"_Toc224251274" </w:instrText>
      </w:r>
      <w:r>
        <w:fldChar w:fldCharType="separate"/>
      </w:r>
      <w:r>
        <w:rPr>
          <w:rStyle w:val="32"/>
          <w:rFonts w:hint="eastAsia"/>
          <w14:scene3d>
            <w14:lightRig w14:rig="threePt" w14:dir="t">
              <w14:rot w14:lat="0" w14:lon="0" w14:rev="0"/>
            </w14:lightRig>
          </w14:scene3d>
        </w:rPr>
        <w:t>7.1</w:t>
      </w:r>
      <w:r>
        <w:rPr>
          <w:rStyle w:val="32"/>
          <w14:scene3d>
            <w14:lightRig w14:rig="threePt" w14:dir="t">
              <w14:rot w14:lat="0" w14:lon="0" w14:rev="0"/>
            </w14:lightRig>
          </w14:scene3d>
        </w:rPr>
        <w:t xml:space="preserve"> </w:t>
      </w:r>
      <w:r>
        <w:rPr>
          <w:rStyle w:val="32"/>
          <w:rFonts w:hint="eastAsia"/>
        </w:rPr>
        <w:t xml:space="preserve"> 养老机构日常/定期清洁</w:t>
      </w:r>
      <w:r>
        <w:rPr>
          <w:rFonts w:hint="eastAsia"/>
        </w:rPr>
        <w:tab/>
      </w:r>
      <w:r>
        <w:rPr>
          <w:rFonts w:hint="eastAsia"/>
        </w:rPr>
        <w:fldChar w:fldCharType="begin"/>
      </w:r>
      <w:r>
        <w:rPr>
          <w:rFonts w:hint="eastAsia"/>
        </w:rPr>
        <w:instrText xml:space="preserve"> </w:instrText>
      </w:r>
      <w:r>
        <w:instrText xml:space="preserve">PAGEREF _Toc224251274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0C8CFE42">
      <w:pPr>
        <w:pStyle w:val="24"/>
        <w:rPr>
          <w:rFonts w:asciiTheme="minorHAnsi" w:hAnsiTheme="minorHAnsi" w:eastAsiaTheme="minorEastAsia" w:cstheme="minorBidi"/>
          <w:sz w:val="22"/>
          <w:szCs w:val="24"/>
          <w14:ligatures w14:val="standardContextual"/>
        </w:rPr>
      </w:pPr>
      <w:r>
        <w:fldChar w:fldCharType="begin"/>
      </w:r>
      <w:r>
        <w:instrText xml:space="preserve"> HYPERLINK \l "_Toc224251275" </w:instrText>
      </w:r>
      <w:r>
        <w:fldChar w:fldCharType="separate"/>
      </w:r>
      <w:r>
        <w:rPr>
          <w:rStyle w:val="32"/>
          <w:rFonts w:hint="eastAsia"/>
          <w14:scene3d>
            <w14:lightRig w14:rig="threePt" w14:dir="t">
              <w14:rot w14:lat="0" w14:lon="0" w14:rev="0"/>
            </w14:lightRig>
          </w14:scene3d>
        </w:rPr>
        <w:t>7.2</w:t>
      </w:r>
      <w:r>
        <w:rPr>
          <w:rStyle w:val="32"/>
          <w14:scene3d>
            <w14:lightRig w14:rig="threePt" w14:dir="t">
              <w14:rot w14:lat="0" w14:lon="0" w14:rev="0"/>
            </w14:lightRig>
          </w14:scene3d>
        </w:rPr>
        <w:t xml:space="preserve"> </w:t>
      </w:r>
      <w:r>
        <w:rPr>
          <w:rStyle w:val="32"/>
          <w:rFonts w:hint="eastAsia"/>
        </w:rPr>
        <w:t xml:space="preserve"> 老年人居室终末清洁</w:t>
      </w:r>
      <w:r>
        <w:rPr>
          <w:rFonts w:hint="eastAsia"/>
        </w:rPr>
        <w:tab/>
      </w:r>
      <w:r>
        <w:rPr>
          <w:rFonts w:hint="eastAsia"/>
        </w:rPr>
        <w:fldChar w:fldCharType="begin"/>
      </w:r>
      <w:r>
        <w:rPr>
          <w:rFonts w:hint="eastAsia"/>
        </w:rPr>
        <w:instrText xml:space="preserve"> </w:instrText>
      </w:r>
      <w:r>
        <w:instrText xml:space="preserve">PAGEREF _Toc224251275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5E555C2C">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"_Toc224251276" </w:instrText>
      </w:r>
      <w:r>
        <w:fldChar w:fldCharType="separate"/>
      </w:r>
      <w:r>
        <w:rPr>
          <w:rStyle w:val="32"/>
          <w:rFonts w:hint="eastAsia"/>
        </w:rPr>
        <w:t>8</w:t>
      </w:r>
      <w:r>
        <w:rPr>
          <w:rStyle w:val="32"/>
        </w:rPr>
        <w:t xml:space="preserve"> </w:t>
      </w:r>
      <w:r>
        <w:rPr>
          <w:rStyle w:val="32"/>
          <w:rFonts w:hint="eastAsia"/>
        </w:rPr>
        <w:t xml:space="preserve"> 服务评价与改进</w:t>
      </w:r>
      <w:r>
        <w:rPr>
          <w:rFonts w:hint="eastAsia"/>
        </w:rPr>
        <w:tab/>
      </w:r>
      <w:r>
        <w:rPr>
          <w:rFonts w:hint="eastAsia"/>
        </w:rPr>
        <w:fldChar w:fldCharType="begin"/>
      </w:r>
      <w:r>
        <w:rPr>
          <w:rFonts w:hint="eastAsia"/>
        </w:rPr>
        <w:instrText xml:space="preserve"> </w:instrText>
      </w:r>
      <w:r>
        <w:instrText xml:space="preserve">PAGEREF _Toc224251276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14:paraId="5DD60748">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"_Toc224251277" </w:instrText>
      </w:r>
      <w:r>
        <w:fldChar w:fldCharType="separate"/>
      </w:r>
      <w:r>
        <w:rPr>
          <w:rStyle w:val="32"/>
          <w:rFonts w:hint="eastAsia"/>
        </w:rPr>
        <w:t>附录A（资料性）</w:t>
      </w:r>
      <w:r>
        <w:rPr>
          <w:rStyle w:val="32"/>
        </w:rPr>
        <w:t xml:space="preserve"> </w:t>
      </w:r>
      <w:r>
        <w:rPr>
          <w:rStyle w:val="32"/>
          <w:rFonts w:hint="eastAsia"/>
        </w:rPr>
        <w:t xml:space="preserve"> 清洁工具消毒记录表</w:t>
      </w:r>
      <w:r>
        <w:rPr>
          <w:rFonts w:hint="eastAsia"/>
        </w:rPr>
        <w:tab/>
      </w:r>
      <w:r>
        <w:rPr>
          <w:rFonts w:hint="eastAsia"/>
        </w:rPr>
        <w:fldChar w:fldCharType="begin"/>
      </w:r>
      <w:r>
        <w:rPr>
          <w:rFonts w:hint="eastAsia"/>
        </w:rPr>
        <w:instrText xml:space="preserve"> </w:instrText>
      </w:r>
      <w:r>
        <w:instrText xml:space="preserve">PAGEREF _Toc224251277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5781F8C9">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"_Toc224251278" </w:instrText>
      </w:r>
      <w:r>
        <w:fldChar w:fldCharType="separate"/>
      </w:r>
      <w:r>
        <w:rPr>
          <w:rStyle w:val="32"/>
          <w:rFonts w:hint="eastAsia"/>
        </w:rPr>
        <w:t>附录B（资料性）</w:t>
      </w:r>
      <w:r>
        <w:rPr>
          <w:rStyle w:val="32"/>
        </w:rPr>
        <w:t xml:space="preserve"> </w:t>
      </w:r>
      <w:r>
        <w:rPr>
          <w:rStyle w:val="32"/>
          <w:rFonts w:hint="eastAsia"/>
        </w:rPr>
        <w:t xml:space="preserve"> 养老机构清洁卫生服务记录表</w:t>
      </w:r>
      <w:r>
        <w:rPr>
          <w:rFonts w:hint="eastAsia"/>
        </w:rPr>
        <w:tab/>
      </w:r>
      <w:r>
        <w:rPr>
          <w:rFonts w:hint="eastAsia"/>
        </w:rPr>
        <w:fldChar w:fldCharType="begin"/>
      </w:r>
      <w:r>
        <w:rPr>
          <w:rFonts w:hint="eastAsia"/>
        </w:rPr>
        <w:instrText xml:space="preserve"> </w:instrText>
      </w:r>
      <w:r>
        <w:instrText xml:space="preserve">PAGEREF _Toc224251278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14:paraId="4D8FAB16">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"_Toc224251279" </w:instrText>
      </w:r>
      <w:r>
        <w:fldChar w:fldCharType="separate"/>
      </w:r>
      <w:r>
        <w:rPr>
          <w:rStyle w:val="32"/>
          <w:rFonts w:hint="eastAsia"/>
        </w:rPr>
        <w:t>附录C（资料性）</w:t>
      </w:r>
      <w:r>
        <w:rPr>
          <w:rStyle w:val="32"/>
        </w:rPr>
        <w:t xml:space="preserve"> </w:t>
      </w:r>
      <w:bookmarkStart w:id="208" w:name="_GoBack"/>
      <w:bookmarkEnd w:id="208"/>
      <w:r>
        <w:rPr>
          <w:rStyle w:val="32"/>
          <w:rFonts w:hint="eastAsia"/>
        </w:rPr>
        <w:t xml:space="preserve"> 老年人居室终末清洁记录表</w:t>
      </w:r>
      <w:r>
        <w:rPr>
          <w:rFonts w:hint="eastAsia"/>
        </w:rPr>
        <w:tab/>
      </w:r>
      <w:r>
        <w:rPr>
          <w:rFonts w:hint="eastAsia"/>
        </w:rPr>
        <w:fldChar w:fldCharType="begin"/>
      </w:r>
      <w:r>
        <w:rPr>
          <w:rFonts w:hint="eastAsia"/>
        </w:rPr>
        <w:instrText xml:space="preserve"> </w:instrText>
      </w:r>
      <w:r>
        <w:instrText xml:space="preserve">PAGEREF _Toc224251279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1804C31B">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"_Toc224251280" </w:instrText>
      </w:r>
      <w:r>
        <w:fldChar w:fldCharType="separate"/>
      </w:r>
      <w:r>
        <w:rPr>
          <w:rStyle w:val="32"/>
          <w:rFonts w:hint="eastAsia"/>
        </w:rPr>
        <w:t>参考文献</w:t>
      </w:r>
      <w:r>
        <w:rPr>
          <w:rFonts w:hint="eastAsia"/>
        </w:rPr>
        <w:tab/>
      </w:r>
      <w:r>
        <w:rPr>
          <w:rFonts w:hint="eastAsia"/>
        </w:rPr>
        <w:fldChar w:fldCharType="begin"/>
      </w:r>
      <w:r>
        <w:rPr>
          <w:rFonts w:hint="eastAsia"/>
        </w:rPr>
        <w:instrText xml:space="preserve"> </w:instrText>
      </w:r>
      <w:r>
        <w:instrText xml:space="preserve">PAGEREF _Toc224251280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3043A1BC">
      <w:pPr>
        <w:pStyle w:val="91"/>
        <w:spacing w:after="360"/>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r>
        <w:fldChar w:fldCharType="end"/>
      </w:r>
    </w:p>
    <w:bookmarkEnd w:id="22"/>
    <w:p w14:paraId="68571D53">
      <w:pPr>
        <w:pStyle w:val="89"/>
        <w:spacing w:before="900" w:after="360"/>
      </w:pPr>
      <w:bookmarkStart w:id="23" w:name="_Toc224251259"/>
      <w:bookmarkStart w:id="24" w:name="BookMark2"/>
      <w:r>
        <w:rPr>
          <w:rFonts w:hint="eastAsia"/>
          <w:spacing w:val="320"/>
        </w:rPr>
        <w:t>前</w:t>
      </w:r>
      <w:r>
        <w:rPr>
          <w:rFonts w:hint="eastAsia"/>
        </w:rPr>
        <w:t>言</w:t>
      </w:r>
      <w:bookmarkEnd w:id="23"/>
    </w:p>
    <w:p w14:paraId="25D03AAE">
      <w:pPr>
        <w:pStyle w:val="56"/>
        <w:ind w:firstLine="420"/>
      </w:pPr>
      <w:r>
        <w:rPr>
          <w:rFonts w:hint="eastAsia"/>
        </w:rPr>
        <w:t>本文件按照GB/T 1.1—2020《标准化工作导则  第1部分：标准化文件的结构和起草规则》的规定起草。</w:t>
      </w:r>
    </w:p>
    <w:p w14:paraId="6542567A">
      <w:pPr>
        <w:pStyle w:val="56"/>
        <w:ind w:firstLine="420"/>
        <w:rPr>
          <w:szCs w:val="21"/>
        </w:rPr>
      </w:pPr>
      <w:r>
        <w:rPr>
          <w:rFonts w:hint="eastAsia" w:hAnsi="宋体"/>
        </w:rPr>
        <w:t>请注意本文件的某些内容可能涉及专利。本文件的发布机构不承担识别专利的责任。</w:t>
      </w:r>
    </w:p>
    <w:p w14:paraId="3DDED6B6">
      <w:pPr>
        <w:pStyle w:val="56"/>
        <w:ind w:firstLine="420"/>
      </w:pPr>
      <w:r>
        <w:rPr>
          <w:rFonts w:hint="eastAsia" w:hAnsi="宋体"/>
        </w:rPr>
        <w:t>本文件由中华人民共和国民政部提出。</w:t>
      </w:r>
    </w:p>
    <w:p w14:paraId="31F3B4BB">
      <w:pPr>
        <w:pStyle w:val="56"/>
        <w:ind w:firstLine="420"/>
      </w:pPr>
      <w:r>
        <w:rPr>
          <w:rFonts w:hint="eastAsia" w:hAnsi="宋体"/>
        </w:rPr>
        <w:t>本文件由全国社会福利服务标准化技术委员会（SAC/TC 315）归口。</w:t>
      </w:r>
    </w:p>
    <w:p w14:paraId="771D7DD6">
      <w:pPr>
        <w:pStyle w:val="56"/>
        <w:ind w:firstLine="420"/>
      </w:pPr>
      <w:r>
        <w:rPr>
          <w:rFonts w:hint="eastAsia"/>
        </w:rPr>
        <w:t>本文件起草单位：海南省民政厅、海南省托老院、中国标准化研究院、广州市老人院、重庆医科大学附属第一医院青杠老年护养中心、海南医科大学第一附属医院、海南省护理学会、海南省标准化协会。</w:t>
      </w:r>
    </w:p>
    <w:p w14:paraId="679F1192">
      <w:pPr>
        <w:pStyle w:val="56"/>
        <w:ind w:firstLine="420"/>
      </w:pPr>
      <w:r>
        <w:rPr>
          <w:rFonts w:hint="eastAsia"/>
        </w:rPr>
        <w:t>本文件主要起草人：略。</w:t>
      </w:r>
    </w:p>
    <w:p w14:paraId="572D5F16">
      <w:pPr>
        <w:pStyle w:val="56"/>
        <w:ind w:firstLine="420"/>
        <w:sectPr>
          <w:pgSz w:w="11906" w:h="16838"/>
          <w:pgMar w:top="1928" w:right="1134" w:bottom="1134" w:left="1134" w:header="1418" w:footer="1134" w:gutter="284"/>
          <w:pgNumType w:fmt="upperRoman"/>
          <w:cols w:space="425" w:num="1"/>
          <w:formProt w:val="0"/>
          <w:docGrid w:linePitch="312" w:charSpace="0"/>
        </w:sectPr>
      </w:pPr>
    </w:p>
    <w:bookmarkEnd w:id="24"/>
    <w:p w14:paraId="3B1B54D7">
      <w:pPr>
        <w:spacing w:line="20" w:lineRule="exact"/>
        <w:jc w:val="center"/>
        <w:rPr>
          <w:rFonts w:ascii="黑体" w:hAnsi="黑体" w:eastAsia="黑体"/>
          <w:sz w:val="32"/>
          <w:szCs w:val="32"/>
        </w:rPr>
      </w:pPr>
      <w:bookmarkStart w:id="25" w:name="BookMark4"/>
    </w:p>
    <w:p w14:paraId="1DA36684">
      <w:pPr>
        <w:spacing w:line="20" w:lineRule="exact"/>
        <w:jc w:val="center"/>
        <w:rPr>
          <w:rFonts w:ascii="黑体" w:hAnsi="黑体" w:eastAsia="黑体"/>
          <w:sz w:val="32"/>
          <w:szCs w:val="32"/>
        </w:rPr>
      </w:pPr>
    </w:p>
    <w:sdt>
      <w:sdtPr>
        <w:tag w:val="NEW_STAND_NAME"/>
        <w:id w:val="595910757"/>
        <w:lock w:val="sdtLocked"/>
        <w:placeholder>
          <w:docPart w:val="BE5132013D624E2CBC029A21174DA16F"/>
        </w:placeholder>
      </w:sdtPr>
      <w:sdtContent>
        <w:p w14:paraId="21084CE4">
          <w:pPr>
            <w:pStyle w:val="177"/>
            <w:spacing w:before="240" w:beforeLines="100" w:after="528" w:afterLines="220"/>
          </w:pPr>
          <w:bookmarkStart w:id="26" w:name="NEW_STAND_NAME"/>
          <w:r>
            <w:rPr>
              <w:rFonts w:hint="eastAsia"/>
            </w:rPr>
            <w:t>养老机构清洁卫生服务规范</w:t>
          </w:r>
        </w:p>
      </w:sdtContent>
    </w:sdt>
    <w:bookmarkEnd w:id="26"/>
    <w:p w14:paraId="573A959F">
      <w:pPr>
        <w:pStyle w:val="104"/>
        <w:spacing w:before="240" w:after="240"/>
      </w:pPr>
      <w:bookmarkStart w:id="27" w:name="_Toc224251210"/>
      <w:bookmarkStart w:id="28" w:name="_Toc224251260"/>
      <w:bookmarkStart w:id="29" w:name="_Toc97195091"/>
      <w:bookmarkStart w:id="30" w:name="_Toc17233333"/>
      <w:bookmarkStart w:id="31" w:name="_Toc26986530"/>
      <w:bookmarkStart w:id="32" w:name="_Toc24884218"/>
      <w:bookmarkStart w:id="33" w:name="_Toc26648465"/>
      <w:bookmarkStart w:id="34" w:name="_Toc17233325"/>
      <w:bookmarkStart w:id="35" w:name="_Toc26986771"/>
      <w:bookmarkStart w:id="36" w:name="_Toc26718930"/>
      <w:bookmarkStart w:id="37" w:name="_Toc24884211"/>
      <w:r>
        <w:rPr>
          <w:rFonts w:hint="eastAsia"/>
        </w:rPr>
        <w:t>范围</w:t>
      </w:r>
      <w:bookmarkEnd w:id="27"/>
      <w:bookmarkEnd w:id="28"/>
      <w:bookmarkEnd w:id="29"/>
      <w:bookmarkEnd w:id="30"/>
      <w:bookmarkEnd w:id="31"/>
      <w:bookmarkEnd w:id="32"/>
      <w:bookmarkEnd w:id="33"/>
      <w:bookmarkEnd w:id="34"/>
      <w:bookmarkEnd w:id="35"/>
      <w:bookmarkEnd w:id="36"/>
      <w:bookmarkEnd w:id="37"/>
    </w:p>
    <w:p w14:paraId="1A61C89B">
      <w:pPr>
        <w:pStyle w:val="56"/>
        <w:ind w:firstLine="420"/>
      </w:pPr>
      <w:bookmarkStart w:id="38" w:name="_Toc17233334"/>
      <w:bookmarkStart w:id="39" w:name="_Toc26648466"/>
      <w:bookmarkStart w:id="40" w:name="_Toc17233326"/>
      <w:bookmarkStart w:id="41" w:name="_Toc24884219"/>
      <w:bookmarkStart w:id="42" w:name="_Toc24884212"/>
      <w:r>
        <w:rPr>
          <w:rFonts w:hint="eastAsia"/>
        </w:rPr>
        <w:t>本文件规定了养老机构清洁卫生服务的服务范围、基本要求、服务内容及方法、服务流程、服务评价与改进等内容。</w:t>
      </w:r>
    </w:p>
    <w:p w14:paraId="19AE65FE">
      <w:pPr>
        <w:pStyle w:val="56"/>
        <w:ind w:firstLine="420"/>
      </w:pPr>
      <w:r>
        <w:rPr>
          <w:rFonts w:hint="eastAsia"/>
        </w:rPr>
        <w:t>本文件适用于养老机构的清洁卫生服务活动。</w:t>
      </w:r>
    </w:p>
    <w:p w14:paraId="17963FBA">
      <w:pPr>
        <w:pStyle w:val="104"/>
        <w:spacing w:before="240" w:after="240"/>
      </w:pPr>
      <w:bookmarkStart w:id="43" w:name="_Toc26986531"/>
      <w:bookmarkStart w:id="44" w:name="_Toc26718931"/>
      <w:bookmarkStart w:id="45" w:name="_Toc26986772"/>
      <w:bookmarkStart w:id="46" w:name="_Toc224251211"/>
      <w:bookmarkStart w:id="47" w:name="_Toc97195092"/>
      <w:bookmarkStart w:id="48" w:name="_Toc224251261"/>
      <w:r>
        <w:rPr>
          <w:rFonts w:hint="eastAsia"/>
        </w:rPr>
        <w:t>规范性引用文件</w:t>
      </w:r>
      <w:bookmarkEnd w:id="38"/>
      <w:bookmarkEnd w:id="39"/>
      <w:bookmarkEnd w:id="40"/>
      <w:bookmarkEnd w:id="41"/>
      <w:bookmarkEnd w:id="42"/>
      <w:bookmarkEnd w:id="43"/>
      <w:bookmarkEnd w:id="44"/>
      <w:bookmarkEnd w:id="45"/>
      <w:bookmarkEnd w:id="46"/>
      <w:bookmarkEnd w:id="47"/>
      <w:bookmarkEnd w:id="48"/>
    </w:p>
    <w:sdt>
      <w:sdtPr>
        <w:rPr>
          <w:rFonts w:hint="eastAsia"/>
        </w:rPr>
        <w:id w:val="715848253"/>
        <w:placeholder>
          <w:docPart w:val="E36FC14807B64CBFA8A3E0AD8ECB1F70"/>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2700DB39">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63D20261">
      <w:pPr>
        <w:pStyle w:val="56"/>
        <w:ind w:firstLine="420"/>
      </w:pPr>
      <w:r>
        <w:rPr>
          <w:rFonts w:hint="eastAsia"/>
        </w:rPr>
        <w:t>GB/T 18883 室内空气质量标准</w:t>
      </w:r>
    </w:p>
    <w:p w14:paraId="0133E93F">
      <w:pPr>
        <w:pStyle w:val="56"/>
        <w:ind w:firstLine="420"/>
      </w:pPr>
      <w:r>
        <w:rPr>
          <w:rFonts w:hint="eastAsia"/>
        </w:rPr>
        <w:t>GB/T 19095 生活垃圾分类标志</w:t>
      </w:r>
    </w:p>
    <w:p w14:paraId="26CEBBCE">
      <w:pPr>
        <w:pStyle w:val="56"/>
        <w:ind w:firstLine="420"/>
      </w:pPr>
      <w:r>
        <w:rPr>
          <w:rFonts w:hint="eastAsia"/>
        </w:rPr>
        <w:t>GB/T 35796—2017 养老机构服务质量基本规范</w:t>
      </w:r>
    </w:p>
    <w:p w14:paraId="08253DFA">
      <w:pPr>
        <w:pStyle w:val="56"/>
        <w:ind w:firstLine="420"/>
      </w:pPr>
      <w:r>
        <w:rPr>
          <w:rFonts w:hint="eastAsia"/>
        </w:rPr>
        <w:t>GB 38600—2019 养老机构服务安全基本规范</w:t>
      </w:r>
    </w:p>
    <w:p w14:paraId="7F2215C2">
      <w:pPr>
        <w:pStyle w:val="56"/>
        <w:ind w:firstLine="420"/>
      </w:pPr>
      <w:r>
        <w:rPr>
          <w:rFonts w:hint="eastAsia"/>
        </w:rPr>
        <w:t>MZ/T 189 养老机构洗涤服务规范</w:t>
      </w:r>
    </w:p>
    <w:p w14:paraId="076C96A1">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WS/T 512—2016 医疗机构环境表面清洁与消毒管理规范</w:t>
      </w:r>
    </w:p>
    <w:p w14:paraId="647CC135">
      <w:pPr>
        <w:pStyle w:val="56"/>
        <w:ind w:firstLine="420"/>
      </w:pPr>
      <w:r>
        <w:rPr>
          <w:rFonts w:hint="eastAsia"/>
        </w:rPr>
        <w:t>WS/T 367 医疗机构</w:t>
      </w:r>
      <w:r>
        <w:rPr>
          <w:rFonts w:hint="eastAsia"/>
          <w:color w:val="000000" w:themeColor="text1"/>
          <w14:textFill>
            <w14:solidFill>
              <w14:schemeClr w14:val="tx1"/>
            </w14:solidFill>
          </w14:textFill>
        </w:rPr>
        <w:t>消毒技术规范</w:t>
      </w:r>
    </w:p>
    <w:p w14:paraId="2771B1C4">
      <w:pPr>
        <w:pStyle w:val="104"/>
        <w:spacing w:before="240" w:after="240"/>
      </w:pPr>
      <w:bookmarkStart w:id="49" w:name="_Toc224251212"/>
      <w:bookmarkStart w:id="50" w:name="_Toc224251262"/>
      <w:bookmarkStart w:id="51" w:name="_Toc97195093"/>
      <w:r>
        <w:rPr>
          <w:rFonts w:hint="eastAsia"/>
          <w:szCs w:val="21"/>
        </w:rPr>
        <w:t>术语和定义</w:t>
      </w:r>
      <w:bookmarkEnd w:id="49"/>
      <w:bookmarkEnd w:id="50"/>
      <w:bookmarkEnd w:id="51"/>
    </w:p>
    <w:sdt>
      <w:sdtPr>
        <w:rPr>
          <w:rFonts w:hint="eastAsia" w:hAnsi="宋体" w:cs="宋体"/>
          <w:color w:val="000000" w:themeColor="text1"/>
          <w14:textFill>
            <w14:solidFill>
              <w14:schemeClr w14:val="tx1"/>
            </w14:solidFill>
          </w14:textFill>
        </w:rPr>
        <w:id w:val="-1909835108"/>
        <w:placeholder>
          <w:docPart w:val="F802C1C2BF184EF2845699E0A1EDDBB4"/>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ascii="Times New Roman" w:hAnsi="宋体" w:cs="宋体"/>
          <w:color w:val="000000" w:themeColor="text1"/>
          <w14:textFill>
            <w14:solidFill>
              <w14:schemeClr w14:val="tx1"/>
            </w14:solidFill>
          </w14:textFill>
        </w:rPr>
      </w:sdtEndPr>
      <w:sdtContent>
        <w:p w14:paraId="1CC05876">
          <w:pPr>
            <w:pStyle w:val="56"/>
            <w:ind w:firstLine="420"/>
          </w:pPr>
          <w:bookmarkStart w:id="52" w:name="_Toc26986532"/>
          <w:bookmarkEnd w:id="52"/>
          <w:r>
            <w:rPr>
              <w:rFonts w:hint="eastAsia" w:hAnsi="宋体" w:cs="宋体"/>
              <w:color w:val="000000" w:themeColor="text1"/>
              <w14:textFill>
                <w14:solidFill>
                  <w14:schemeClr w14:val="tx1"/>
                </w14:solidFill>
              </w14:textFill>
            </w:rPr>
            <w:t>GB 38600—2019、WS/T 512—2016界定的以及下列术语和定义适用于本文件。</w:t>
          </w:r>
        </w:p>
      </w:sdtContent>
    </w:sdt>
    <w:p w14:paraId="50B0FF8E">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清洁卫生服务 cleaning and sanitation service</w:t>
      </w:r>
    </w:p>
    <w:p w14:paraId="1470A8CB">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通过使用</w:t>
      </w:r>
      <w:r>
        <w:rPr>
          <w:rFonts w:hint="eastAsia"/>
        </w:rPr>
        <w:t>专用的清洁工具，对养老机构的环境及物体表面实施全面清洁的活动</w:t>
      </w:r>
      <w:r>
        <w:rPr>
          <w:rFonts w:hint="eastAsia"/>
          <w:color w:val="000000" w:themeColor="text1"/>
          <w14:textFill>
            <w14:solidFill>
              <w14:schemeClr w14:val="tx1"/>
            </w14:solidFill>
          </w14:textFill>
        </w:rPr>
        <w:t>。</w:t>
      </w:r>
    </w:p>
    <w:p w14:paraId="000D91AC">
      <w:pPr>
        <w:pStyle w:val="223"/>
        <w:ind w:left="420" w:hanging="420" w:hangingChars="200"/>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清洁工具 cleaning tools</w:t>
      </w:r>
    </w:p>
    <w:p w14:paraId="6B1C684C">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用于清洁的设备及用品，包括机械化和自动化的工具等。</w:t>
      </w:r>
    </w:p>
    <w:p w14:paraId="0DC5DC04">
      <w:pPr>
        <w:pStyle w:val="181"/>
        <w:rPr>
          <w:color w:val="000000" w:themeColor="text1"/>
          <w14:textFill>
            <w14:solidFill>
              <w14:schemeClr w14:val="tx1"/>
            </w14:solidFill>
          </w14:textFill>
        </w:rPr>
      </w:pPr>
      <w:r>
        <w:rPr>
          <w:rFonts w:hint="eastAsia"/>
        </w:rPr>
        <w:t>布巾、地巾、</w:t>
      </w:r>
      <w:r>
        <w:rPr>
          <w:rFonts w:hint="eastAsia"/>
          <w:color w:val="000000" w:themeColor="text1"/>
          <w14:textFill>
            <w14:solidFill>
              <w14:schemeClr w14:val="tx1"/>
            </w14:solidFill>
          </w14:textFill>
        </w:rPr>
        <w:t>盛水容器、洁具车、扫地机、擦窗机器人等。</w:t>
      </w:r>
    </w:p>
    <w:p w14:paraId="7AA1ACE7">
      <w:pPr>
        <w:pStyle w:val="56"/>
        <w:ind w:firstLine="420"/>
      </w:pPr>
      <w:r>
        <w:rPr>
          <w:rFonts w:hint="eastAsia"/>
        </w:rPr>
        <w:t>[来源：</w:t>
      </w:r>
      <w:r>
        <w:rPr>
          <w:rFonts w:hint="eastAsia"/>
          <w:color w:val="000000" w:themeColor="text1"/>
          <w14:textFill>
            <w14:solidFill>
              <w14:schemeClr w14:val="tx1"/>
            </w14:solidFill>
          </w14:textFill>
        </w:rPr>
        <w:t>WS/T 512—2016,3.3,有修改</w:t>
      </w:r>
      <w:r>
        <w:rPr>
          <w:rFonts w:hint="eastAsia"/>
        </w:rPr>
        <w:t>]</w:t>
      </w:r>
    </w:p>
    <w:p w14:paraId="53346F7B">
      <w:pPr>
        <w:pStyle w:val="223"/>
        <w:ind w:left="420" w:hanging="420" w:hangingChars="200"/>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终末清洁 terminal cleaning</w:t>
      </w:r>
    </w:p>
    <w:p w14:paraId="3E5FE6AE">
      <w:pPr>
        <w:pStyle w:val="56"/>
        <w:ind w:firstLine="420"/>
        <w:rPr>
          <w:color w:val="000000" w:themeColor="text1"/>
          <w14:textFill>
            <w14:solidFill>
              <w14:schemeClr w14:val="tx1"/>
            </w14:solidFill>
          </w14:textFill>
        </w:rPr>
      </w:pPr>
      <w:r>
        <w:rPr>
          <w:rFonts w:hint="eastAsia"/>
        </w:rPr>
        <w:t>老年人在养老机构中更换床位、出院或死亡后，对其原居住的环境、日常接触的设备设施及用品等进行一次全面、彻底的清洁过程，主要</w:t>
      </w:r>
      <w:r>
        <w:rPr>
          <w:rFonts w:hint="eastAsia"/>
          <w:color w:val="000000" w:themeColor="text1"/>
          <w14:textFill>
            <w14:solidFill>
              <w14:schemeClr w14:val="tx1"/>
            </w14:solidFill>
          </w14:textFill>
        </w:rPr>
        <w:t>清洁区域为居室。</w:t>
      </w:r>
    </w:p>
    <w:p w14:paraId="26B1D1A5">
      <w:pPr>
        <w:pStyle w:val="104"/>
        <w:spacing w:before="240" w:after="240"/>
      </w:pPr>
      <w:bookmarkStart w:id="53" w:name="_Toc224251213"/>
      <w:bookmarkStart w:id="54" w:name="_Toc224251263"/>
      <w:bookmarkStart w:id="55" w:name="_Toc203252033"/>
      <w:bookmarkStart w:id="56" w:name="_Toc178319627"/>
      <w:bookmarkStart w:id="57" w:name="_Toc193230910"/>
      <w:bookmarkStart w:id="58" w:name="_Toc181715806"/>
      <w:bookmarkStart w:id="59" w:name="_Toc178151939"/>
      <w:bookmarkStart w:id="60" w:name="_Toc192799994"/>
      <w:bookmarkStart w:id="61" w:name="_Toc178152136"/>
      <w:bookmarkStart w:id="62" w:name="_Toc175179363"/>
      <w:bookmarkStart w:id="63" w:name="_Toc170806608"/>
      <w:r>
        <w:rPr>
          <w:rFonts w:hint="eastAsia"/>
        </w:rPr>
        <w:t>服务范围</w:t>
      </w:r>
      <w:bookmarkEnd w:id="53"/>
      <w:bookmarkEnd w:id="54"/>
      <w:bookmarkEnd w:id="55"/>
    </w:p>
    <w:p w14:paraId="29A5A03A">
      <w:pPr>
        <w:pStyle w:val="162"/>
      </w:pPr>
      <w:r>
        <w:rPr>
          <w:rFonts w:hint="eastAsia"/>
        </w:rPr>
        <w:t>养老机构清洁卫生服务主要涉及公共区域和老年人居室的清洁，包括但不限于：</w:t>
      </w:r>
    </w:p>
    <w:p w14:paraId="7CEC9E04">
      <w:pPr>
        <w:pStyle w:val="132"/>
      </w:pPr>
      <w:r>
        <w:rPr>
          <w:rFonts w:hint="eastAsia"/>
        </w:rPr>
        <w:t>公共区域：走廊、连廊、电梯、大厅、文娱活动空间、办公用房、后勤保障用房、公共卫生间、公共浴室、室外环境；</w:t>
      </w:r>
    </w:p>
    <w:p w14:paraId="02A05CFA">
      <w:pPr>
        <w:pStyle w:val="132"/>
      </w:pPr>
      <w:r>
        <w:rPr>
          <w:rFonts w:hint="eastAsia"/>
        </w:rPr>
        <w:t>居室：卧室、客厅、厨房、卫生间、阳台。</w:t>
      </w:r>
    </w:p>
    <w:p w14:paraId="5D504E1A">
      <w:pPr>
        <w:pStyle w:val="162"/>
      </w:pPr>
      <w:r>
        <w:rPr>
          <w:rFonts w:hint="eastAsia"/>
        </w:rPr>
        <w:t>养老机构公共厨房、餐厅的清洁卫生服务应按食品监督管理部门的相关规定执行。</w:t>
      </w:r>
    </w:p>
    <w:p w14:paraId="535A03D7">
      <w:pPr>
        <w:pStyle w:val="162"/>
      </w:pPr>
      <w:r>
        <w:rPr>
          <w:rFonts w:hint="eastAsia"/>
        </w:rPr>
        <w:t>养老机构消防、供水系统等特殊设备设施及环境的清洁应按相关部门的规定执行。</w:t>
      </w:r>
    </w:p>
    <w:p w14:paraId="30D5833C">
      <w:pPr>
        <w:pStyle w:val="104"/>
        <w:spacing w:before="240" w:after="240"/>
        <w:rPr>
          <w:color w:val="000000" w:themeColor="text1"/>
          <w14:textFill>
            <w14:solidFill>
              <w14:schemeClr w14:val="tx1"/>
            </w14:solidFill>
          </w14:textFill>
        </w:rPr>
      </w:pPr>
      <w:bookmarkStart w:id="64" w:name="_Toc224251214"/>
      <w:bookmarkStart w:id="65" w:name="_Toc224251264"/>
      <w:bookmarkStart w:id="66" w:name="_Toc203252034"/>
      <w:r>
        <w:rPr>
          <w:rFonts w:hint="eastAsia"/>
          <w:color w:val="000000" w:themeColor="text1"/>
          <w14:textFill>
            <w14:solidFill>
              <w14:schemeClr w14:val="tx1"/>
            </w14:solidFill>
          </w14:textFill>
        </w:rPr>
        <w:t>基本要求</w:t>
      </w:r>
      <w:bookmarkEnd w:id="56"/>
      <w:bookmarkEnd w:id="57"/>
      <w:bookmarkEnd w:id="58"/>
      <w:bookmarkEnd w:id="59"/>
      <w:bookmarkEnd w:id="60"/>
      <w:bookmarkEnd w:id="61"/>
      <w:bookmarkEnd w:id="62"/>
      <w:bookmarkEnd w:id="63"/>
      <w:bookmarkEnd w:id="64"/>
      <w:bookmarkEnd w:id="65"/>
      <w:bookmarkEnd w:id="66"/>
    </w:p>
    <w:p w14:paraId="5BC0D4CB">
      <w:pPr>
        <w:pStyle w:val="105"/>
        <w:spacing w:before="120" w:after="120"/>
        <w:rPr>
          <w:color w:val="000000" w:themeColor="text1"/>
          <w14:textFill>
            <w14:solidFill>
              <w14:schemeClr w14:val="tx1"/>
            </w14:solidFill>
          </w14:textFill>
        </w:rPr>
      </w:pPr>
      <w:bookmarkStart w:id="67" w:name="_Toc178319628"/>
      <w:bookmarkStart w:id="68" w:name="_Toc178151940"/>
      <w:bookmarkStart w:id="69" w:name="_Toc175179364"/>
      <w:bookmarkStart w:id="70" w:name="_Toc203252035"/>
      <w:bookmarkStart w:id="71" w:name="_Toc192799995"/>
      <w:bookmarkStart w:id="72" w:name="_Toc170806609"/>
      <w:bookmarkStart w:id="73" w:name="_Toc181715807"/>
      <w:bookmarkStart w:id="74" w:name="_Toc224251215"/>
      <w:bookmarkStart w:id="75" w:name="_Toc193230911"/>
      <w:bookmarkStart w:id="76" w:name="_Toc178152137"/>
      <w:bookmarkStart w:id="77" w:name="_Toc224251265"/>
      <w:r>
        <w:rPr>
          <w:rFonts w:hint="eastAsia"/>
          <w:color w:val="000000" w:themeColor="text1"/>
          <w14:textFill>
            <w14:solidFill>
              <w14:schemeClr w14:val="tx1"/>
            </w14:solidFill>
          </w14:textFill>
        </w:rPr>
        <w:t>机构要求</w:t>
      </w:r>
      <w:bookmarkEnd w:id="67"/>
      <w:bookmarkEnd w:id="68"/>
      <w:bookmarkEnd w:id="69"/>
      <w:bookmarkEnd w:id="70"/>
      <w:bookmarkEnd w:id="71"/>
      <w:bookmarkEnd w:id="72"/>
      <w:bookmarkEnd w:id="73"/>
      <w:bookmarkEnd w:id="74"/>
      <w:bookmarkEnd w:id="75"/>
      <w:bookmarkEnd w:id="76"/>
      <w:bookmarkEnd w:id="77"/>
    </w:p>
    <w:p w14:paraId="7B8CE8E3">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养老机构清洁卫生服务的内容及要求应符合GB/T 35796—2017的相关规定。</w:t>
      </w:r>
    </w:p>
    <w:p w14:paraId="254743D7">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机构应结合实际情况制定清洁卫生服务计划，包括但不限于服务区域、服务内容、服务时间或频率。</w:t>
      </w:r>
    </w:p>
    <w:p w14:paraId="175397B5">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机构应为服务人员配备必要的清洁工具、劳保用品等，设清洁工具间。</w:t>
      </w:r>
    </w:p>
    <w:p w14:paraId="4B93ECE8">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服务场所应保持良好的空气流通，室内空气质量应符合GB/T 18883的要求。</w:t>
      </w:r>
    </w:p>
    <w:p w14:paraId="6699C047">
      <w:pPr>
        <w:pStyle w:val="105"/>
        <w:spacing w:before="120" w:after="120"/>
        <w:rPr>
          <w:color w:val="000000" w:themeColor="text1"/>
          <w14:textFill>
            <w14:solidFill>
              <w14:schemeClr w14:val="tx1"/>
            </w14:solidFill>
          </w14:textFill>
        </w:rPr>
      </w:pPr>
      <w:bookmarkStart w:id="78" w:name="_Toc224251266"/>
      <w:bookmarkStart w:id="79" w:name="_Toc181715808"/>
      <w:bookmarkStart w:id="80" w:name="_Toc178319629"/>
      <w:bookmarkStart w:id="81" w:name="_Toc170806610"/>
      <w:bookmarkStart w:id="82" w:name="_Toc192799996"/>
      <w:bookmarkStart w:id="83" w:name="_Toc224251216"/>
      <w:bookmarkStart w:id="84" w:name="_Toc178151941"/>
      <w:bookmarkStart w:id="85" w:name="_Toc175179365"/>
      <w:bookmarkStart w:id="86" w:name="_Toc178152138"/>
      <w:bookmarkStart w:id="87" w:name="_Toc203252036"/>
      <w:bookmarkStart w:id="88" w:name="_Toc193230912"/>
      <w:r>
        <w:rPr>
          <w:rFonts w:hint="eastAsia"/>
          <w:color w:val="000000" w:themeColor="text1"/>
          <w14:textFill>
            <w14:solidFill>
              <w14:schemeClr w14:val="tx1"/>
            </w14:solidFill>
          </w14:textFill>
        </w:rPr>
        <w:t>人员要求</w:t>
      </w:r>
      <w:bookmarkEnd w:id="78"/>
      <w:bookmarkEnd w:id="79"/>
      <w:bookmarkEnd w:id="80"/>
      <w:bookmarkEnd w:id="81"/>
      <w:bookmarkEnd w:id="82"/>
      <w:bookmarkEnd w:id="83"/>
      <w:bookmarkEnd w:id="84"/>
      <w:bookmarkEnd w:id="85"/>
      <w:bookmarkEnd w:id="86"/>
      <w:bookmarkEnd w:id="87"/>
      <w:bookmarkEnd w:id="88"/>
    </w:p>
    <w:p w14:paraId="5183FDB2">
      <w:pPr>
        <w:pStyle w:val="165"/>
      </w:pPr>
      <w:r>
        <w:rPr>
          <w:rFonts w:hint="eastAsia"/>
        </w:rPr>
        <w:t>服务人员的管理应符合GB/T 35796—2017中6.2的规定，开展服务期间应着装规范、仪容仪表整洁。</w:t>
      </w:r>
    </w:p>
    <w:p w14:paraId="0F727682">
      <w:pPr>
        <w:pStyle w:val="165"/>
        <w:rPr>
          <w:color w:val="000000" w:themeColor="text1"/>
          <w14:textFill>
            <w14:solidFill>
              <w14:schemeClr w14:val="tx1"/>
            </w14:solidFill>
          </w14:textFill>
        </w:rPr>
      </w:pPr>
      <w:r>
        <w:rPr>
          <w:rFonts w:hint="eastAsia"/>
        </w:rPr>
        <w:t>服务人员应参加清洁卫生服务相关培训，熟悉清洁卫生服务流程，掌握不同环境及物体表面</w:t>
      </w:r>
      <w:r>
        <w:rPr>
          <w:rFonts w:hint="eastAsia"/>
          <w:color w:val="000000" w:themeColor="text1"/>
          <w14:textFill>
            <w14:solidFill>
              <w14:schemeClr w14:val="tx1"/>
            </w14:solidFill>
          </w14:textFill>
        </w:rPr>
        <w:t>的清洁方法和要求。</w:t>
      </w:r>
    </w:p>
    <w:p w14:paraId="286CFC01">
      <w:pPr>
        <w:pStyle w:val="105"/>
        <w:spacing w:before="120" w:after="120"/>
        <w:rPr>
          <w:color w:val="000000" w:themeColor="text1"/>
          <w14:textFill>
            <w14:solidFill>
              <w14:schemeClr w14:val="tx1"/>
            </w14:solidFill>
          </w14:textFill>
        </w:rPr>
      </w:pPr>
      <w:bookmarkStart w:id="89" w:name="_Toc203252037"/>
      <w:bookmarkStart w:id="90" w:name="_Toc224251267"/>
      <w:bookmarkStart w:id="91" w:name="_Toc224251217"/>
      <w:bookmarkStart w:id="92" w:name="_Toc192799997"/>
      <w:bookmarkStart w:id="93" w:name="_Toc193230913"/>
      <w:bookmarkStart w:id="94" w:name="_Toc178151943"/>
      <w:bookmarkStart w:id="95" w:name="_Toc181715810"/>
      <w:bookmarkStart w:id="96" w:name="_Toc178319631"/>
      <w:bookmarkStart w:id="97" w:name="_Toc178152140"/>
      <w:bookmarkStart w:id="98" w:name="_Toc170806627"/>
      <w:bookmarkStart w:id="99" w:name="_Toc175179367"/>
      <w:r>
        <w:rPr>
          <w:rFonts w:hint="eastAsia"/>
          <w:color w:val="000000" w:themeColor="text1"/>
          <w14:textFill>
            <w14:solidFill>
              <w14:schemeClr w14:val="tx1"/>
            </w14:solidFill>
          </w14:textFill>
        </w:rPr>
        <w:t>服务要求</w:t>
      </w:r>
      <w:bookmarkEnd w:id="89"/>
      <w:bookmarkEnd w:id="90"/>
      <w:bookmarkEnd w:id="91"/>
      <w:bookmarkEnd w:id="92"/>
      <w:bookmarkEnd w:id="93"/>
    </w:p>
    <w:p w14:paraId="684FF05E">
      <w:pPr>
        <w:pStyle w:val="165"/>
        <w:rPr>
          <w:color w:val="000000" w:themeColor="text1"/>
          <w14:textFill>
            <w14:solidFill>
              <w14:schemeClr w14:val="tx1"/>
            </w14:solidFill>
          </w14:textFill>
        </w:rPr>
      </w:pPr>
      <w:r>
        <w:rPr>
          <w:rFonts w:hint="eastAsia"/>
        </w:rPr>
        <w:t>应遵循</w:t>
      </w:r>
      <w:r>
        <w:rPr>
          <w:rFonts w:hint="eastAsia"/>
          <w:color w:val="000000" w:themeColor="text1"/>
          <w14:textFill>
            <w14:solidFill>
              <w14:schemeClr w14:val="tx1"/>
            </w14:solidFill>
          </w14:textFill>
        </w:rPr>
        <w:t>由洁到污、由上到下、由内到外、由边角到中央</w:t>
      </w:r>
      <w:r>
        <w:rPr>
          <w:rFonts w:hint="eastAsia"/>
        </w:rPr>
        <w:t>的清洁原则</w:t>
      </w:r>
      <w:r>
        <w:rPr>
          <w:rFonts w:hint="eastAsia"/>
          <w:color w:val="000000" w:themeColor="text1"/>
          <w14:textFill>
            <w14:solidFill>
              <w14:schemeClr w14:val="tx1"/>
            </w14:solidFill>
          </w14:textFill>
        </w:rPr>
        <w:t>，环境中有异味或肉眼可见的脏污时应随时清洁。</w:t>
      </w:r>
    </w:p>
    <w:p w14:paraId="793796E4">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一般情况下应以清水清洁为主、清洁剂清洁为辅，应根据物体表面的材质及脏污的程度选用合适的清洁剂。</w:t>
      </w:r>
    </w:p>
    <w:p w14:paraId="1F5297F4">
      <w:pPr>
        <w:pStyle w:val="165"/>
      </w:pPr>
      <w:r>
        <w:rPr>
          <w:rFonts w:hint="eastAsia"/>
        </w:rPr>
        <w:t>当地面或物体表面无明显污染时，宜采用湿式清洁；当受到明显污染时，先用吸湿材料去除可见的污染物，再清洁。</w:t>
      </w:r>
    </w:p>
    <w:p w14:paraId="52C803A2">
      <w:pPr>
        <w:pStyle w:val="165"/>
      </w:pPr>
      <w:r>
        <w:rPr>
          <w:rFonts w:hint="eastAsia"/>
        </w:rPr>
        <w:t>患有或疑似传染病老年人居住过的居室，及被其体液、排泄物、分泌物、呕吐物等污染的物体表面、地面，应按</w:t>
      </w:r>
      <w:r>
        <w:t>WS/T 512</w:t>
      </w:r>
      <w:r>
        <w:rPr>
          <w:rFonts w:hint="eastAsia"/>
        </w:rPr>
        <w:t>、WS/T 367的要求执行清洁消毒。</w:t>
      </w:r>
    </w:p>
    <w:p w14:paraId="59E84D5E">
      <w:pPr>
        <w:pStyle w:val="105"/>
        <w:spacing w:before="120" w:after="120"/>
        <w:rPr>
          <w:color w:val="000000" w:themeColor="text1"/>
          <w14:textFill>
            <w14:solidFill>
              <w14:schemeClr w14:val="tx1"/>
            </w14:solidFill>
          </w14:textFill>
        </w:rPr>
      </w:pPr>
      <w:bookmarkStart w:id="100" w:name="_Toc224251268"/>
      <w:bookmarkStart w:id="101" w:name="_Toc224251218"/>
      <w:bookmarkStart w:id="102" w:name="_Toc192799998"/>
      <w:bookmarkStart w:id="103" w:name="_Toc203252038"/>
      <w:bookmarkStart w:id="104" w:name="_Toc193230914"/>
      <w:r>
        <w:rPr>
          <w:rFonts w:hint="eastAsia"/>
          <w:color w:val="000000" w:themeColor="text1"/>
          <w14:textFill>
            <w14:solidFill>
              <w14:schemeClr w14:val="tx1"/>
            </w14:solidFill>
          </w14:textFill>
        </w:rPr>
        <w:t>清洁工具管理要求</w:t>
      </w:r>
      <w:bookmarkEnd w:id="94"/>
      <w:bookmarkEnd w:id="95"/>
      <w:bookmarkEnd w:id="96"/>
      <w:bookmarkEnd w:id="97"/>
      <w:bookmarkEnd w:id="98"/>
      <w:bookmarkEnd w:id="99"/>
      <w:bookmarkEnd w:id="100"/>
      <w:bookmarkEnd w:id="101"/>
      <w:bookmarkEnd w:id="102"/>
      <w:bookmarkEnd w:id="103"/>
      <w:bookmarkEnd w:id="104"/>
    </w:p>
    <w:p w14:paraId="54377521">
      <w:pPr>
        <w:pStyle w:val="165"/>
      </w:pPr>
      <w:r>
        <w:rPr>
          <w:rFonts w:hint="eastAsia"/>
          <w:color w:val="000000" w:themeColor="text1"/>
          <w14:textFill>
            <w14:solidFill>
              <w14:schemeClr w14:val="tx1"/>
            </w14:solidFill>
          </w14:textFill>
        </w:rPr>
        <w:t>清洁工具的储存空间</w:t>
      </w:r>
      <w:r>
        <w:rPr>
          <w:rFonts w:hint="eastAsia"/>
        </w:rPr>
        <w:t>应设分类标识，保持环境干燥、通风。</w:t>
      </w:r>
    </w:p>
    <w:p w14:paraId="2C3945BB">
      <w:pPr>
        <w:pStyle w:val="165"/>
        <w:rPr>
          <w:color w:val="000000" w:themeColor="text1"/>
          <w14:textFill>
            <w14:solidFill>
              <w14:schemeClr w14:val="tx1"/>
            </w14:solidFill>
          </w14:textFill>
        </w:rPr>
      </w:pPr>
      <w:r>
        <w:rPr>
          <w:rFonts w:hint="eastAsia"/>
        </w:rPr>
        <w:t>应通过不同颜色、样式或标识等，区分老年人居</w:t>
      </w:r>
      <w:r>
        <w:rPr>
          <w:rFonts w:hint="eastAsia"/>
          <w:color w:val="000000" w:themeColor="text1"/>
          <w14:textFill>
            <w14:solidFill>
              <w14:schemeClr w14:val="tx1"/>
            </w14:solidFill>
          </w14:textFill>
        </w:rPr>
        <w:t>室、厨房、卫生间、垃圾暂存点、室外环境及其他区域的清洁工具。</w:t>
      </w:r>
    </w:p>
    <w:p w14:paraId="3D345077">
      <w:pPr>
        <w:pStyle w:val="165"/>
      </w:pPr>
      <w:r>
        <w:rPr>
          <w:rFonts w:hint="eastAsia"/>
          <w:color w:val="000000" w:themeColor="text1"/>
          <w14:textFill>
            <w14:solidFill>
              <w14:schemeClr w14:val="tx1"/>
            </w14:solidFill>
          </w14:textFill>
        </w:rPr>
        <w:t>应使用标识规范、质量合格的清洁工具、清洁剂、消毒剂、劳保用品等，清洁剂</w:t>
      </w:r>
      <w:r>
        <w:rPr>
          <w:rFonts w:hint="eastAsia"/>
        </w:rPr>
        <w:t>、消毒剂应储存于老年人不易发现或取得的位置，消毒剂应避光保存、上锁保管。</w:t>
      </w:r>
    </w:p>
    <w:p w14:paraId="7B261497">
      <w:pPr>
        <w:pStyle w:val="165"/>
      </w:pPr>
      <w:r>
        <w:rPr>
          <w:rFonts w:hint="eastAsia"/>
        </w:rPr>
        <w:t>不同居室共用清洁工具时，应做到一室一换（布巾、地巾），必要时消毒；在执行终末清洁时，不同老年人生活单元的环境及物体之间应更换布巾和地巾。</w:t>
      </w:r>
    </w:p>
    <w:p w14:paraId="1C8C32BD">
      <w:pPr>
        <w:pStyle w:val="104"/>
        <w:spacing w:before="240" w:after="240"/>
      </w:pPr>
      <w:bookmarkStart w:id="105" w:name="_Toc192799999"/>
      <w:bookmarkStart w:id="106" w:name="_Toc175179368"/>
      <w:bookmarkStart w:id="107" w:name="_Toc178319632"/>
      <w:bookmarkStart w:id="108" w:name="_Toc178152141"/>
      <w:bookmarkStart w:id="109" w:name="_Toc193230915"/>
      <w:bookmarkStart w:id="110" w:name="_Toc178151944"/>
      <w:bookmarkStart w:id="111" w:name="_Toc181715812"/>
      <w:bookmarkStart w:id="112" w:name="_Toc224251269"/>
      <w:bookmarkStart w:id="113" w:name="_Toc224251219"/>
      <w:bookmarkStart w:id="114" w:name="_Toc203252039"/>
      <w:bookmarkStart w:id="115" w:name="_Toc178319633"/>
      <w:bookmarkStart w:id="116" w:name="_Toc178152142"/>
      <w:bookmarkStart w:id="117" w:name="_Toc178151945"/>
      <w:bookmarkStart w:id="118" w:name="_Toc175179369"/>
      <w:bookmarkStart w:id="119" w:name="_Toc181715813"/>
      <w:bookmarkStart w:id="120" w:name="_Toc170806613"/>
      <w:r>
        <w:rPr>
          <w:rFonts w:hint="eastAsia"/>
        </w:rPr>
        <w:t>服务</w:t>
      </w:r>
      <w:bookmarkEnd w:id="105"/>
      <w:bookmarkEnd w:id="106"/>
      <w:bookmarkEnd w:id="107"/>
      <w:bookmarkEnd w:id="108"/>
      <w:bookmarkEnd w:id="109"/>
      <w:bookmarkEnd w:id="110"/>
      <w:bookmarkEnd w:id="111"/>
      <w:r>
        <w:rPr>
          <w:rFonts w:hint="eastAsia"/>
        </w:rPr>
        <w:t>内容及方法</w:t>
      </w:r>
      <w:bookmarkEnd w:id="112"/>
      <w:bookmarkEnd w:id="113"/>
      <w:bookmarkEnd w:id="114"/>
    </w:p>
    <w:p w14:paraId="171A37A7">
      <w:pPr>
        <w:pStyle w:val="105"/>
        <w:spacing w:before="120" w:after="120"/>
      </w:pPr>
      <w:bookmarkStart w:id="121" w:name="_Toc192800000"/>
      <w:bookmarkStart w:id="122" w:name="_Toc203252040"/>
      <w:bookmarkStart w:id="123" w:name="_Toc193230916"/>
      <w:bookmarkStart w:id="124" w:name="_Toc224251270"/>
      <w:bookmarkStart w:id="125" w:name="_Toc224251220"/>
      <w:r>
        <w:rPr>
          <w:rFonts w:hint="eastAsia"/>
        </w:rPr>
        <w:t>环境及物体清洁</w:t>
      </w:r>
      <w:bookmarkEnd w:id="115"/>
      <w:bookmarkEnd w:id="116"/>
      <w:bookmarkEnd w:id="117"/>
      <w:bookmarkEnd w:id="118"/>
      <w:bookmarkEnd w:id="119"/>
      <w:bookmarkEnd w:id="121"/>
      <w:bookmarkEnd w:id="122"/>
      <w:bookmarkEnd w:id="123"/>
      <w:bookmarkEnd w:id="124"/>
      <w:bookmarkEnd w:id="125"/>
    </w:p>
    <w:p w14:paraId="0ED10012">
      <w:pPr>
        <w:pStyle w:val="65"/>
        <w:spacing w:before="120" w:after="120"/>
      </w:pPr>
      <w:r>
        <w:rPr>
          <w:rFonts w:hint="eastAsia"/>
        </w:rPr>
        <w:t>日常清洁</w:t>
      </w:r>
      <w:bookmarkEnd w:id="120"/>
    </w:p>
    <w:p w14:paraId="12D491B8">
      <w:pPr>
        <w:pStyle w:val="56"/>
        <w:ind w:firstLine="420"/>
        <w:rPr>
          <w:color w:val="000000" w:themeColor="text1"/>
          <w14:textFill>
            <w14:solidFill>
              <w14:schemeClr w14:val="tx1"/>
            </w14:solidFill>
          </w14:textFill>
        </w:rPr>
      </w:pPr>
      <w:r>
        <w:rPr>
          <w:rFonts w:hint="eastAsia"/>
        </w:rPr>
        <w:t>养老机构每日进行日常清洁，</w:t>
      </w:r>
      <w:r>
        <w:rPr>
          <w:rFonts w:hint="eastAsia"/>
          <w:color w:val="000000" w:themeColor="text1"/>
          <w14:textFill>
            <w14:solidFill>
              <w14:schemeClr w14:val="tx1"/>
            </w14:solidFill>
          </w14:textFill>
        </w:rPr>
        <w:t>服务内容及方法包括但不限于：</w:t>
      </w:r>
    </w:p>
    <w:p w14:paraId="02860DCD">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室内空气：应进行自然通风或机械通风，每日2次，每次通风时长以30分钟为宜；</w:t>
      </w:r>
    </w:p>
    <w:p w14:paraId="16891ECC">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地面：应每日清洁地面，结合地面材质选择合适的清洁工具；</w:t>
      </w:r>
    </w:p>
    <w:p w14:paraId="23D159BA">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床单元：应每日清扫并整理老年人的床铺及床上用品，床单、被套、枕套等应随脏随换洗；</w:t>
      </w:r>
    </w:p>
    <w:p w14:paraId="52420C24">
      <w:pPr>
        <w:pStyle w:val="174"/>
        <w:rPr>
          <w:rFonts w:hAnsi="宋体" w:cs="宋体"/>
        </w:rPr>
      </w:pPr>
      <w:r>
        <w:rPr>
          <w:rFonts w:hint="eastAsia" w:hAnsi="宋体" w:cs="宋体"/>
          <w:color w:val="000000" w:themeColor="text1"/>
          <w14:textFill>
            <w14:solidFill>
              <w14:schemeClr w14:val="tx1"/>
            </w14:solidFill>
          </w14:textFill>
        </w:rPr>
        <w:t>生活用品：口</w:t>
      </w:r>
      <w:r>
        <w:rPr>
          <w:rFonts w:hint="eastAsia" w:hAnsi="宋体" w:cs="宋体"/>
        </w:rPr>
        <w:t>杯、餐具、毛巾、脸盆、便器、衣物等个人常用生活用品用后应及时清洗并晾干，个人助行器具、共用的轮椅等辅助器具应每日进行表面清洁，做到随脏随清洁；</w:t>
      </w:r>
    </w:p>
    <w:p w14:paraId="4E8E578D">
      <w:pPr>
        <w:pStyle w:val="174"/>
        <w:rPr>
          <w:rFonts w:hAnsi="宋体" w:cs="宋体"/>
        </w:rPr>
      </w:pPr>
      <w:r>
        <w:rPr>
          <w:rFonts w:hint="eastAsia" w:hAnsi="宋体" w:cs="宋体"/>
          <w:color w:val="000000" w:themeColor="text1"/>
          <w14:textFill>
            <w14:solidFill>
              <w14:schemeClr w14:val="tx1"/>
            </w14:solidFill>
          </w14:textFill>
        </w:rPr>
        <w:t>家具设备、装饰等：应每日擦拭清洁台面、椅面、柜子</w:t>
      </w:r>
      <w:r>
        <w:rPr>
          <w:rFonts w:hint="eastAsia" w:hAnsi="宋体" w:cs="宋体"/>
        </w:rPr>
        <w:t>等外表面；</w:t>
      </w:r>
    </w:p>
    <w:p w14:paraId="201C6529">
      <w:pPr>
        <w:pStyle w:val="174"/>
        <w:rPr>
          <w:rFonts w:hAnsi="宋体" w:cs="宋体"/>
        </w:rPr>
      </w:pPr>
      <w:r>
        <w:rPr>
          <w:rFonts w:hint="eastAsia" w:hAnsi="宋体" w:cs="宋体"/>
          <w:color w:val="000000" w:themeColor="text1"/>
          <w14:textFill>
            <w14:solidFill>
              <w14:schemeClr w14:val="tx1"/>
            </w14:solidFill>
          </w14:textFill>
        </w:rPr>
        <w:t>活动器材：应每日擦拭清洁</w:t>
      </w:r>
      <w:r>
        <w:rPr>
          <w:rFonts w:hint="eastAsia" w:hAnsi="宋体" w:cs="宋体"/>
        </w:rPr>
        <w:t>活动器材外表面；</w:t>
      </w:r>
    </w:p>
    <w:p w14:paraId="7B7F19FE">
      <w:pPr>
        <w:pStyle w:val="174"/>
        <w:rPr>
          <w:rFonts w:hAnsi="宋体" w:cs="宋体"/>
        </w:rPr>
      </w:pPr>
      <w:r>
        <w:rPr>
          <w:rFonts w:hint="eastAsia" w:hAnsi="宋体" w:cs="宋体"/>
        </w:rPr>
        <w:t>频繁接触的公共设施表面：应每日2次擦拭清洁电梯按钮、扶手、门把手、开关等频繁接触的位置，宜使用含有效氯500 mg/L的消毒液进行清洁；</w:t>
      </w:r>
    </w:p>
    <w:p w14:paraId="05B43AE1">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卫浴设备：应每日刷洗卫浴设备的表面，包括浴缸内部、淋浴头、防滑垫、便池和马桶内外、水龙头、洗手盆以及洗漱台面等区域，镜子表面宜使用干净的</w:t>
      </w:r>
      <w:r>
        <w:rPr>
          <w:rFonts w:hint="eastAsia" w:hAnsi="宋体" w:cs="宋体"/>
        </w:rPr>
        <w:t>布巾或</w:t>
      </w:r>
      <w:r>
        <w:rPr>
          <w:rFonts w:hint="eastAsia" w:hAnsi="宋体" w:cs="宋体"/>
          <w:color w:val="000000" w:themeColor="text1"/>
          <w14:textFill>
            <w14:solidFill>
              <w14:schemeClr w14:val="tx1"/>
            </w14:solidFill>
          </w14:textFill>
        </w:rPr>
        <w:t>玻璃清洁器等进行清洁；</w:t>
      </w:r>
    </w:p>
    <w:p w14:paraId="61FFA6ED">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垃圾桶：应每日倾倒垃圾，有异味、虫害或垃圾超过2/3满时及时倾倒，桶壁有异味、</w:t>
      </w:r>
      <w:r>
        <w:rPr>
          <w:rFonts w:hint="eastAsia" w:hAnsi="宋体" w:cs="宋体"/>
        </w:rPr>
        <w:t>黏附</w:t>
      </w:r>
      <w:r>
        <w:rPr>
          <w:rFonts w:hint="eastAsia" w:hAnsi="宋体" w:cs="宋体"/>
          <w:color w:val="000000" w:themeColor="text1"/>
          <w14:textFill>
            <w14:solidFill>
              <w14:schemeClr w14:val="tx1"/>
            </w14:solidFill>
          </w14:textFill>
        </w:rPr>
        <w:t>脏污时应清洗；</w:t>
      </w:r>
    </w:p>
    <w:p w14:paraId="1265744B">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室外环境：应每日清扫机构道路、庭院、活动场所等室外环境。</w:t>
      </w:r>
    </w:p>
    <w:p w14:paraId="2E96DE69">
      <w:pPr>
        <w:pStyle w:val="65"/>
        <w:spacing w:before="120" w:after="120"/>
      </w:pPr>
      <w:bookmarkStart w:id="126" w:name="_Toc170806614"/>
      <w:r>
        <w:rPr>
          <w:rFonts w:hint="eastAsia"/>
        </w:rPr>
        <w:t>定期清洁</w:t>
      </w:r>
      <w:bookmarkEnd w:id="126"/>
    </w:p>
    <w:p w14:paraId="6B0B2C1C">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定期清洁在执行日常清洁的基础上开展，服务内容及方法包括但不限于：</w:t>
      </w:r>
    </w:p>
    <w:p w14:paraId="1A6E9C1B">
      <w:pPr>
        <w:pStyle w:val="174"/>
        <w:numPr>
          <w:ilvl w:val="0"/>
          <w:numId w:val="32"/>
        </w:numPr>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地面：宜每周清洗地毯和地垫，宜每季度清洁被家具遮挡的部位；</w:t>
      </w:r>
    </w:p>
    <w:p w14:paraId="1B2E5C53">
      <w:pPr>
        <w:pStyle w:val="174"/>
        <w:rPr>
          <w:rFonts w:hAnsi="宋体" w:cs="宋体"/>
        </w:rPr>
      </w:pPr>
      <w:r>
        <w:rPr>
          <w:rFonts w:hint="eastAsia" w:hAnsi="宋体" w:cs="宋体"/>
          <w:color w:val="000000" w:themeColor="text1"/>
          <w14:textFill>
            <w14:solidFill>
              <w14:schemeClr w14:val="tx1"/>
            </w14:solidFill>
          </w14:textFill>
        </w:rPr>
        <w:t>床单元</w:t>
      </w:r>
      <w:r>
        <w:rPr>
          <w:rFonts w:hint="eastAsia" w:hAnsi="宋体" w:cs="宋体"/>
        </w:rPr>
        <w:t>：应按MZ/T 189的规定清洗布草类物品，宜每月</w:t>
      </w:r>
      <w:r>
        <w:rPr>
          <w:rFonts w:hint="eastAsia" w:hAnsi="宋体" w:cs="宋体"/>
          <w:color w:val="000000" w:themeColor="text1"/>
          <w14:textFill>
            <w14:solidFill>
              <w14:schemeClr w14:val="tx1"/>
            </w14:solidFill>
          </w14:textFill>
        </w:rPr>
        <w:t>清洁、更换或暴晒</w:t>
      </w:r>
      <w:r>
        <w:rPr>
          <w:rFonts w:hint="eastAsia" w:hAnsi="宋体" w:cs="宋体"/>
        </w:rPr>
        <w:t>被芯、枕芯、床褥、床垫、隔帘等</w:t>
      </w:r>
      <w:r>
        <w:rPr>
          <w:rFonts w:hint="eastAsia" w:hAnsi="宋体" w:cs="宋体"/>
          <w:color w:val="000000" w:themeColor="text1"/>
          <w14:textFill>
            <w14:solidFill>
              <w14:schemeClr w14:val="tx1"/>
            </w14:solidFill>
          </w14:textFill>
        </w:rPr>
        <w:t>，应每半年及在老年人入住前拆洗沙发套</w:t>
      </w:r>
      <w:r>
        <w:rPr>
          <w:rFonts w:hint="eastAsia" w:hAnsi="宋体" w:cs="宋体"/>
        </w:rPr>
        <w:t>；</w:t>
      </w:r>
    </w:p>
    <w:p w14:paraId="09757EA7">
      <w:pPr>
        <w:pStyle w:val="174"/>
        <w:rPr>
          <w:rFonts w:hAnsi="宋体" w:cs="宋体"/>
        </w:rPr>
      </w:pPr>
      <w:r>
        <w:rPr>
          <w:rFonts w:hint="eastAsia" w:hAnsi="宋体" w:cs="宋体"/>
        </w:rPr>
        <w:t>生活用品：应每周清洗机构内共用的轮椅等辅助器具；</w:t>
      </w:r>
    </w:p>
    <w:p w14:paraId="1160CBE4">
      <w:pPr>
        <w:pStyle w:val="174"/>
        <w:rPr>
          <w:rFonts w:hAnsi="宋体" w:cs="宋体"/>
        </w:rPr>
      </w:pPr>
      <w:r>
        <w:rPr>
          <w:rFonts w:hint="eastAsia" w:hAnsi="宋体" w:cs="宋体"/>
        </w:rPr>
        <w:t>家具设备</w:t>
      </w:r>
      <w:r>
        <w:rPr>
          <w:rFonts w:hint="eastAsia" w:hAnsi="宋体" w:cs="宋体"/>
          <w:color w:val="000000" w:themeColor="text1"/>
          <w14:textFill>
            <w14:solidFill>
              <w14:schemeClr w14:val="tx1"/>
            </w14:solidFill>
          </w14:textFill>
        </w:rPr>
        <w:t>、装饰等</w:t>
      </w:r>
      <w:r>
        <w:rPr>
          <w:rFonts w:hint="eastAsia" w:hAnsi="宋体" w:cs="宋体"/>
        </w:rPr>
        <w:t>：</w:t>
      </w:r>
      <w:r>
        <w:rPr>
          <w:rFonts w:hint="eastAsia" w:hAnsi="宋体" w:cs="宋体"/>
          <w:color w:val="000000" w:themeColor="text1"/>
          <w14:textFill>
            <w14:solidFill>
              <w14:schemeClr w14:val="tx1"/>
            </w14:solidFill>
          </w14:textFill>
        </w:rPr>
        <w:t>应每月清洁家具柜体内部和柜顶，每周擦拭清洁床架</w:t>
      </w:r>
      <w:r>
        <w:rPr>
          <w:rFonts w:hint="eastAsia" w:hAnsi="宋体" w:cs="宋体"/>
        </w:rPr>
        <w:t>边缘</w:t>
      </w:r>
      <w:r>
        <w:rPr>
          <w:rFonts w:hint="eastAsia" w:hAnsi="宋体" w:cs="宋体"/>
          <w:color w:val="000000" w:themeColor="text1"/>
          <w14:textFill>
            <w14:solidFill>
              <w14:schemeClr w14:val="tx1"/>
            </w14:solidFill>
          </w14:textFill>
        </w:rPr>
        <w:t>、</w:t>
      </w:r>
      <w:r>
        <w:rPr>
          <w:rFonts w:hint="eastAsia" w:hAnsi="宋体" w:cs="宋体"/>
        </w:rPr>
        <w:t>室内绿植、盆景、摆件及装饰画等；</w:t>
      </w:r>
    </w:p>
    <w:p w14:paraId="65851599">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电器设备：应</w:t>
      </w:r>
      <w:r>
        <w:rPr>
          <w:rFonts w:hint="eastAsia" w:hAnsi="宋体" w:cs="宋体"/>
        </w:rPr>
        <w:t>每周擦拭</w:t>
      </w:r>
      <w:r>
        <w:rPr>
          <w:rFonts w:hint="eastAsia" w:hAnsi="宋体" w:cs="宋体"/>
          <w:color w:val="000000" w:themeColor="text1"/>
          <w14:textFill>
            <w14:solidFill>
              <w14:schemeClr w14:val="tx1"/>
            </w14:solidFill>
          </w14:textFill>
        </w:rPr>
        <w:t>常规电器</w:t>
      </w:r>
      <w:r>
        <w:rPr>
          <w:rFonts w:hint="eastAsia" w:hAnsi="宋体" w:cs="宋体"/>
        </w:rPr>
        <w:t>外表面</w:t>
      </w:r>
      <w:r>
        <w:rPr>
          <w:rFonts w:hint="eastAsia" w:hAnsi="宋体" w:cs="宋体"/>
          <w:color w:val="000000" w:themeColor="text1"/>
          <w14:textFill>
            <w14:solidFill>
              <w14:schemeClr w14:val="tx1"/>
            </w14:solidFill>
          </w14:textFill>
        </w:rPr>
        <w:t>，按产品维护要求清洁空调、供暖设备等特殊设备的内部，每周清洁饮水机、冰箱等内部，易结霜的冰箱应每月除霜；</w:t>
      </w:r>
    </w:p>
    <w:p w14:paraId="3ABF8843">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卫浴设备：应每周彻底清洗卫生间，使用清洁剂进行除菌、除臭、除垢等处理，宜每周使用</w:t>
      </w:r>
      <w:r>
        <w:rPr>
          <w:rFonts w:hint="eastAsia" w:hAnsi="宋体" w:cs="宋体"/>
        </w:rPr>
        <w:t>含有效氯50</w:t>
      </w:r>
      <w:r>
        <w:rPr>
          <w:rFonts w:hint="eastAsia" w:hAnsi="宋体" w:cs="宋体"/>
          <w:color w:val="000000" w:themeColor="text1"/>
          <w14:textFill>
            <w14:solidFill>
              <w14:schemeClr w14:val="tx1"/>
            </w14:solidFill>
          </w14:textFill>
        </w:rPr>
        <w:t>0 mg/L的消毒液浸泡、擦拭或喷洒洗浴设备；</w:t>
      </w:r>
    </w:p>
    <w:p w14:paraId="0B20E7A8">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天花板、吊顶等高处物体表面：宜每季度清洁高处物体表面，清洁前应做好区域内人员、设施及用品的保护措施；</w:t>
      </w:r>
    </w:p>
    <w:p w14:paraId="1919BFD5">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门、窗：宜每周擦拭清洁窗台、推拉轨道，每月清洁门窗表面、门帘，每半年清洗窗帘和纱窗；</w:t>
      </w:r>
    </w:p>
    <w:p w14:paraId="72869CFB">
      <w:pPr>
        <w:pStyle w:val="174"/>
        <w:rPr>
          <w:rFonts w:hAnsi="宋体" w:cs="宋体"/>
        </w:rPr>
      </w:pPr>
      <w:r>
        <w:rPr>
          <w:rFonts w:hint="eastAsia" w:hAnsi="宋体" w:cs="宋体"/>
          <w:color w:val="000000" w:themeColor="text1"/>
          <w14:textFill>
            <w14:solidFill>
              <w14:schemeClr w14:val="tx1"/>
            </w14:solidFill>
          </w14:textFill>
        </w:rPr>
        <w:t>墙壁和瓷砖：宜每月擦拭清</w:t>
      </w:r>
      <w:r>
        <w:rPr>
          <w:rFonts w:hint="eastAsia" w:hAnsi="宋体" w:cs="宋体"/>
        </w:rPr>
        <w:t>洁墙壁、踢脚线和瓷砖表面；</w:t>
      </w:r>
    </w:p>
    <w:p w14:paraId="7356194B">
      <w:pPr>
        <w:pStyle w:val="174"/>
        <w:rPr>
          <w:rFonts w:hAnsi="宋体" w:cs="宋体"/>
          <w:color w:val="000000" w:themeColor="text1"/>
          <w14:textFill>
            <w14:solidFill>
              <w14:schemeClr w14:val="tx1"/>
            </w14:solidFill>
          </w14:textFill>
        </w:rPr>
      </w:pPr>
      <w:r>
        <w:rPr>
          <w:rFonts w:hint="eastAsia" w:hAnsi="宋体" w:cs="宋体"/>
        </w:rPr>
        <w:t>排气扇和通风口：宜每季度</w:t>
      </w:r>
      <w:r>
        <w:rPr>
          <w:rFonts w:hint="eastAsia" w:hAnsi="宋体" w:cs="宋体"/>
          <w:color w:val="000000" w:themeColor="text1"/>
          <w14:textFill>
            <w14:solidFill>
              <w14:schemeClr w14:val="tx1"/>
            </w14:solidFill>
          </w14:textFill>
        </w:rPr>
        <w:t>清洁排气扇、通风口表面及扇叶；</w:t>
      </w:r>
    </w:p>
    <w:p w14:paraId="109C5BB4">
      <w:pPr>
        <w:pStyle w:val="174"/>
        <w:rPr>
          <w:rFonts w:hAnsi="宋体" w:cs="宋体"/>
          <w:color w:val="000000" w:themeColor="text1"/>
          <w14:textFill>
            <w14:solidFill>
              <w14:schemeClr w14:val="tx1"/>
            </w14:solidFill>
          </w14:textFill>
        </w:rPr>
      </w:pPr>
      <w:bookmarkStart w:id="127" w:name="_Toc170806615"/>
      <w:r>
        <w:rPr>
          <w:rFonts w:hint="eastAsia" w:hAnsi="宋体" w:cs="宋体"/>
          <w:color w:val="000000" w:themeColor="text1"/>
          <w14:textFill>
            <w14:solidFill>
              <w14:schemeClr w14:val="tx1"/>
            </w14:solidFill>
          </w14:textFill>
        </w:rPr>
        <w:t>室外环境：应结合实际需要定期清洁，高空作业区域应交由专业人员完成；</w:t>
      </w:r>
    </w:p>
    <w:p w14:paraId="2C732AA2">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病虫害防治：应每月进行虫害消杀，包括居室、公共区域、垃圾暂存点、地漏等位置。</w:t>
      </w:r>
    </w:p>
    <w:p w14:paraId="26096BD0">
      <w:pPr>
        <w:pStyle w:val="65"/>
        <w:spacing w:before="120" w:after="120"/>
      </w:pPr>
      <w:r>
        <w:rPr>
          <w:rFonts w:hint="eastAsia"/>
        </w:rPr>
        <w:t>终末清洁</w:t>
      </w:r>
      <w:bookmarkEnd w:id="127"/>
    </w:p>
    <w:p w14:paraId="4F1C0BD5">
      <w:pPr>
        <w:pStyle w:val="56"/>
        <w:ind w:firstLine="420"/>
        <w:rPr>
          <w:color w:val="000000" w:themeColor="text1"/>
          <w14:textFill>
            <w14:solidFill>
              <w14:schemeClr w14:val="tx1"/>
            </w14:solidFill>
          </w14:textFill>
        </w:rPr>
      </w:pPr>
      <w:r>
        <w:rPr>
          <w:rFonts w:hint="eastAsia"/>
        </w:rPr>
        <w:t>开展老年人居</w:t>
      </w:r>
      <w:r>
        <w:rPr>
          <w:rFonts w:hint="eastAsia"/>
          <w:color w:val="000000" w:themeColor="text1"/>
          <w14:textFill>
            <w14:solidFill>
              <w14:schemeClr w14:val="tx1"/>
            </w14:solidFill>
          </w14:textFill>
        </w:rPr>
        <w:t>室的终末清洁服务，服务内容及方法包括但不限于：</w:t>
      </w:r>
    </w:p>
    <w:p w14:paraId="55F273AC">
      <w:pPr>
        <w:pStyle w:val="174"/>
        <w:numPr>
          <w:ilvl w:val="0"/>
          <w:numId w:val="33"/>
        </w:numPr>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室内空气：应开窗通风30分钟，必要时可使用紫外线灯照射</w:t>
      </w:r>
      <w:r>
        <w:rPr>
          <w:rFonts w:hint="eastAsia" w:hAnsi="宋体" w:cs="宋体"/>
          <w:color w:val="000000" w:themeColor="text1"/>
          <w:lang w:eastAsia="zh-CN"/>
          <w14:textFill>
            <w14:solidFill>
              <w14:schemeClr w14:val="tx1"/>
            </w14:solidFill>
          </w14:textFill>
        </w:rPr>
        <w:t>、</w:t>
      </w:r>
      <w:r>
        <w:rPr>
          <w:rFonts w:hint="eastAsia" w:hAnsi="宋体" w:cs="宋体"/>
          <w:color w:val="000000" w:themeColor="text1"/>
          <w14:textFill>
            <w14:solidFill>
              <w14:schemeClr w14:val="tx1"/>
            </w14:solidFill>
          </w14:textFill>
        </w:rPr>
        <w:t>空气消毒机消毒等方法；</w:t>
      </w:r>
    </w:p>
    <w:p w14:paraId="3F81F593">
      <w:pPr>
        <w:pStyle w:val="174"/>
        <w:numPr>
          <w:ilvl w:val="0"/>
          <w:numId w:val="33"/>
        </w:numPr>
        <w:rPr>
          <w:rFonts w:hAnsi="宋体" w:cs="宋体"/>
          <w:color w:val="000000" w:themeColor="text1"/>
          <w14:textFill>
            <w14:solidFill>
              <w14:schemeClr w14:val="tx1"/>
            </w14:solidFill>
          </w14:textFill>
        </w:rPr>
      </w:pPr>
      <w:r>
        <w:rPr>
          <w:rFonts w:hint="eastAsia" w:hAnsi="宋体" w:cs="宋体"/>
        </w:rPr>
        <w:t>地面：应使用含有效氯50</w:t>
      </w:r>
      <w:r>
        <w:rPr>
          <w:rFonts w:hint="eastAsia" w:hAnsi="宋体" w:cs="宋体"/>
          <w:color w:val="000000" w:themeColor="text1"/>
          <w14:textFill>
            <w14:solidFill>
              <w14:schemeClr w14:val="tx1"/>
            </w14:solidFill>
          </w14:textFill>
        </w:rPr>
        <w:t>0 mg/L的消毒液擦拭，作用10分钟以上，再用清水擦拭；</w:t>
      </w:r>
    </w:p>
    <w:p w14:paraId="4BD307AD">
      <w:pPr>
        <w:pStyle w:val="174"/>
        <w:numPr>
          <w:ilvl w:val="0"/>
          <w:numId w:val="33"/>
        </w:numPr>
        <w:rPr>
          <w:rFonts w:hAnsi="宋体" w:cs="宋体"/>
        </w:rPr>
      </w:pPr>
      <w:r>
        <w:rPr>
          <w:rFonts w:hint="eastAsia" w:hAnsi="宋体" w:cs="宋体"/>
          <w:color w:val="000000" w:themeColor="text1"/>
          <w14:textFill>
            <w14:solidFill>
              <w14:schemeClr w14:val="tx1"/>
            </w14:solidFill>
          </w14:textFill>
        </w:rPr>
        <w:t>床单元：被芯、枕芯、床褥、床垫应暴晒6小时及以上，每2小时翻面，或使用床位消毒机、臭氧消毒机等设备消毒至少30分钟，可复用的床上用品应按MZ/T 189的规定进</w:t>
      </w:r>
      <w:r>
        <w:rPr>
          <w:rFonts w:hint="eastAsia" w:hAnsi="宋体" w:cs="宋体"/>
        </w:rPr>
        <w:t>行清洁；</w:t>
      </w:r>
    </w:p>
    <w:p w14:paraId="15A36B98">
      <w:pPr>
        <w:pStyle w:val="174"/>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家具设备、装饰等：桌柜、抽屉、门把手、床架等家具及装饰，应配置</w:t>
      </w:r>
      <w:r>
        <w:rPr>
          <w:rFonts w:hint="eastAsia" w:hAnsi="宋体" w:cs="宋体"/>
        </w:rPr>
        <w:t>含有效氯</w:t>
      </w:r>
      <w:r>
        <w:rPr>
          <w:rFonts w:hint="eastAsia" w:hAnsi="宋体" w:cs="宋体"/>
          <w:color w:val="000000" w:themeColor="text1"/>
          <w14:textFill>
            <w14:solidFill>
              <w14:schemeClr w14:val="tx1"/>
            </w14:solidFill>
          </w14:textFill>
        </w:rPr>
        <w:t>500 mg/L的消毒液，擦拭作</w:t>
      </w:r>
      <w:r>
        <w:rPr>
          <w:rFonts w:hint="eastAsia" w:hAnsi="宋体" w:cs="宋体"/>
        </w:rPr>
        <w:t>用10分钟</w:t>
      </w:r>
      <w:r>
        <w:rPr>
          <w:rFonts w:hint="eastAsia" w:hAnsi="宋体" w:cs="宋体"/>
          <w:color w:val="000000" w:themeColor="text1"/>
          <w14:textFill>
            <w14:solidFill>
              <w14:schemeClr w14:val="tx1"/>
            </w14:solidFill>
          </w14:textFill>
        </w:rPr>
        <w:t>以上，或喷洒作用10～30分钟，再用清水擦拭。</w:t>
      </w:r>
    </w:p>
    <w:p w14:paraId="0AFD73F1">
      <w:pPr>
        <w:pStyle w:val="105"/>
        <w:spacing w:before="120" w:after="120"/>
      </w:pPr>
      <w:bookmarkStart w:id="128" w:name="_Toc203252041"/>
      <w:bookmarkStart w:id="129" w:name="_Toc181715814"/>
      <w:bookmarkStart w:id="130" w:name="_Toc224251271"/>
      <w:bookmarkStart w:id="131" w:name="_Toc175179370"/>
      <w:bookmarkStart w:id="132" w:name="_Toc192800001"/>
      <w:bookmarkStart w:id="133" w:name="_Toc193230917"/>
      <w:bookmarkStart w:id="134" w:name="_Toc178152143"/>
      <w:bookmarkStart w:id="135" w:name="_Toc178151946"/>
      <w:bookmarkStart w:id="136" w:name="_Toc178319634"/>
      <w:bookmarkStart w:id="137" w:name="_Toc224251221"/>
      <w:bookmarkStart w:id="138" w:name="_Toc170806632"/>
      <w:bookmarkStart w:id="139" w:name="_Toc170806631"/>
      <w:bookmarkStart w:id="140" w:name="_Toc170806616"/>
      <w:r>
        <w:rPr>
          <w:rFonts w:hint="eastAsia"/>
        </w:rPr>
        <w:t>垃圾处理</w:t>
      </w:r>
      <w:bookmarkEnd w:id="128"/>
      <w:bookmarkEnd w:id="129"/>
      <w:bookmarkEnd w:id="130"/>
      <w:bookmarkEnd w:id="131"/>
      <w:bookmarkEnd w:id="132"/>
      <w:bookmarkEnd w:id="133"/>
      <w:bookmarkEnd w:id="134"/>
      <w:bookmarkEnd w:id="135"/>
      <w:bookmarkEnd w:id="136"/>
      <w:bookmarkEnd w:id="137"/>
      <w:bookmarkEnd w:id="138"/>
    </w:p>
    <w:p w14:paraId="4F76EB28">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机构</w:t>
      </w:r>
      <w:r>
        <w:rPr>
          <w:rFonts w:hint="eastAsia"/>
        </w:rPr>
        <w:t>应设生活</w:t>
      </w:r>
      <w:r>
        <w:rPr>
          <w:rFonts w:hint="eastAsia"/>
          <w:color w:val="000000" w:themeColor="text1"/>
          <w14:textFill>
            <w14:solidFill>
              <w14:schemeClr w14:val="tx1"/>
            </w14:solidFill>
          </w14:textFill>
        </w:rPr>
        <w:t>垃圾暂存点，按GB/T 19095的要求执行垃圾分类。</w:t>
      </w:r>
    </w:p>
    <w:p w14:paraId="130B49AD">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垃圾收集和运送时，应保持收集容器密闭。</w:t>
      </w:r>
    </w:p>
    <w:p w14:paraId="530414DD">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生活垃圾应交由有资质的机构集中处理。</w:t>
      </w:r>
    </w:p>
    <w:p w14:paraId="2A2C8C9F">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暂存点的垃圾应做到日产日清，并每日清洗消毒周围环境、设施。</w:t>
      </w:r>
    </w:p>
    <w:p w14:paraId="31EC5651">
      <w:pPr>
        <w:pStyle w:val="165"/>
        <w:rPr>
          <w:color w:val="000000" w:themeColor="text1"/>
          <w14:textFill>
            <w14:solidFill>
              <w14:schemeClr w14:val="tx1"/>
            </w14:solidFill>
          </w14:textFill>
        </w:rPr>
      </w:pPr>
      <w:r>
        <w:rPr>
          <w:rFonts w:hint="eastAsia"/>
          <w:color w:val="000000" w:themeColor="text1"/>
          <w14:textFill>
            <w14:solidFill>
              <w14:schemeClr w14:val="tx1"/>
            </w14:solidFill>
          </w14:textFill>
        </w:rPr>
        <w:t>暂存点和收集容器应配置含有效氯500 mg/L～1000 mg/L的消毒液进行消毒，可使用喷雾消毒法或浸泡消毒法。</w:t>
      </w:r>
    </w:p>
    <w:p w14:paraId="0A3E4679">
      <w:pPr>
        <w:pStyle w:val="105"/>
        <w:spacing w:before="120" w:after="120"/>
      </w:pPr>
      <w:bookmarkStart w:id="141" w:name="_Toc181715815"/>
      <w:bookmarkStart w:id="142" w:name="_Toc178152144"/>
      <w:bookmarkStart w:id="143" w:name="_Toc224251222"/>
      <w:bookmarkStart w:id="144" w:name="_Toc178319635"/>
      <w:bookmarkStart w:id="145" w:name="_Toc192800002"/>
      <w:bookmarkStart w:id="146" w:name="_Toc175179371"/>
      <w:bookmarkStart w:id="147" w:name="_Toc203252042"/>
      <w:bookmarkStart w:id="148" w:name="_Toc178151947"/>
      <w:bookmarkStart w:id="149" w:name="_Toc224251272"/>
      <w:bookmarkStart w:id="150" w:name="_Toc193230918"/>
      <w:r>
        <w:rPr>
          <w:rFonts w:hint="eastAsia"/>
        </w:rPr>
        <w:t>工具的清洁维护</w:t>
      </w:r>
      <w:bookmarkEnd w:id="139"/>
      <w:bookmarkEnd w:id="141"/>
      <w:bookmarkEnd w:id="142"/>
      <w:bookmarkEnd w:id="143"/>
      <w:bookmarkEnd w:id="144"/>
      <w:bookmarkEnd w:id="145"/>
      <w:bookmarkEnd w:id="146"/>
      <w:bookmarkEnd w:id="147"/>
      <w:bookmarkEnd w:id="148"/>
      <w:bookmarkEnd w:id="149"/>
      <w:bookmarkEnd w:id="150"/>
    </w:p>
    <w:p w14:paraId="25C89ED4">
      <w:pPr>
        <w:pStyle w:val="165"/>
      </w:pPr>
      <w:r>
        <w:rPr>
          <w:rFonts w:hint="eastAsia"/>
        </w:rPr>
        <w:t>清洁工具应定期更换，用于浸泡、清洗工具的清洁容器应专用，使用后应消毒。</w:t>
      </w:r>
    </w:p>
    <w:p w14:paraId="4D63C771">
      <w:pPr>
        <w:pStyle w:val="165"/>
      </w:pPr>
      <w:r>
        <w:rPr>
          <w:rFonts w:hint="eastAsia"/>
        </w:rPr>
        <w:t>布巾、地巾等布草类清洁工具应在每次使用后用清洁剂清洗，每日用后消毒，填写清洁工具消毒记录，参照附录A。</w:t>
      </w:r>
    </w:p>
    <w:p w14:paraId="0ED8E93F">
      <w:pPr>
        <w:pStyle w:val="165"/>
      </w:pPr>
      <w:r>
        <w:rPr>
          <w:rFonts w:hint="eastAsia"/>
        </w:rPr>
        <w:t>清洁消毒后的清洁工具应干燥保存，保持干净整洁、无异味。</w:t>
      </w:r>
    </w:p>
    <w:p w14:paraId="32B370B0">
      <w:pPr>
        <w:pStyle w:val="165"/>
      </w:pPr>
      <w:r>
        <w:rPr>
          <w:rFonts w:hint="eastAsia"/>
        </w:rPr>
        <w:t>清洁工具的消毒可采取以下人工清洗方法，或按清洗机器的产品说明进行清洗消毒：</w:t>
      </w:r>
    </w:p>
    <w:p w14:paraId="62B522AA">
      <w:pPr>
        <w:pStyle w:val="132"/>
      </w:pPr>
      <w:r>
        <w:rPr>
          <w:rFonts w:hint="eastAsia"/>
        </w:rPr>
        <w:t>布巾：清洗干净，放入含有效氯250 mg/L的消毒液（或使用其他有效消毒剂）中浸泡30分钟，冲洗干净后干燥备用，或根据材质采用煮沸的方式进行消毒；</w:t>
      </w:r>
    </w:p>
    <w:p w14:paraId="7A92CBCB">
      <w:pPr>
        <w:pStyle w:val="132"/>
      </w:pPr>
      <w:r>
        <w:rPr>
          <w:rFonts w:hint="eastAsia"/>
        </w:rPr>
        <w:t>地巾：清洗干净，放入含有效氯500 mg/L的消毒液中浸泡30分钟，冲洗干净后干燥备用，或根据材质采用煮沸的方式进行消毒；</w:t>
      </w:r>
    </w:p>
    <w:p w14:paraId="2DD782A3">
      <w:pPr>
        <w:pStyle w:val="132"/>
        <w:rPr>
          <w:color w:val="000000" w:themeColor="text1"/>
          <w14:textFill>
            <w14:solidFill>
              <w14:schemeClr w14:val="tx1"/>
            </w14:solidFill>
          </w14:textFill>
        </w:rPr>
      </w:pPr>
      <w:r>
        <w:rPr>
          <w:rFonts w:hint="eastAsia"/>
        </w:rPr>
        <w:t>清洁容器：倒入含有效氯500 mg/L的消毒液中浸</w:t>
      </w:r>
      <w:r>
        <w:rPr>
          <w:rFonts w:hint="eastAsia"/>
          <w:color w:val="000000" w:themeColor="text1"/>
          <w14:textFill>
            <w14:solidFill>
              <w14:schemeClr w14:val="tx1"/>
            </w14:solidFill>
          </w14:textFill>
        </w:rPr>
        <w:t>泡30分钟，冲洗干净后干燥备用。</w:t>
      </w:r>
    </w:p>
    <w:p w14:paraId="2B251F31">
      <w:pPr>
        <w:pStyle w:val="104"/>
        <w:spacing w:before="240" w:after="240"/>
        <w:rPr>
          <w:color w:val="000000" w:themeColor="text1"/>
          <w14:textFill>
            <w14:solidFill>
              <w14:schemeClr w14:val="tx1"/>
            </w14:solidFill>
          </w14:textFill>
        </w:rPr>
      </w:pPr>
      <w:bookmarkStart w:id="151" w:name="_Toc192800003"/>
      <w:bookmarkStart w:id="152" w:name="_Toc224251223"/>
      <w:bookmarkStart w:id="153" w:name="_Toc224251273"/>
      <w:bookmarkStart w:id="154" w:name="_Toc203252043"/>
      <w:bookmarkStart w:id="155" w:name="_Toc178319636"/>
      <w:bookmarkStart w:id="156" w:name="_Toc178152145"/>
      <w:bookmarkStart w:id="157" w:name="_Toc181715816"/>
      <w:bookmarkStart w:id="158" w:name="_Toc175179372"/>
      <w:bookmarkStart w:id="159" w:name="_Toc193230919"/>
      <w:bookmarkStart w:id="160" w:name="_Toc178151948"/>
      <w:r>
        <w:rPr>
          <w:rFonts w:hint="eastAsia"/>
          <w:color w:val="000000" w:themeColor="text1"/>
          <w14:textFill>
            <w14:solidFill>
              <w14:schemeClr w14:val="tx1"/>
            </w14:solidFill>
          </w14:textFill>
        </w:rPr>
        <w:t>服务流程</w:t>
      </w:r>
      <w:bookmarkEnd w:id="140"/>
      <w:bookmarkEnd w:id="151"/>
      <w:bookmarkEnd w:id="152"/>
      <w:bookmarkEnd w:id="153"/>
      <w:bookmarkEnd w:id="154"/>
      <w:bookmarkEnd w:id="155"/>
      <w:bookmarkEnd w:id="156"/>
      <w:bookmarkEnd w:id="157"/>
      <w:bookmarkEnd w:id="158"/>
      <w:bookmarkEnd w:id="159"/>
      <w:bookmarkEnd w:id="160"/>
    </w:p>
    <w:p w14:paraId="295D5A3D">
      <w:pPr>
        <w:pStyle w:val="105"/>
        <w:spacing w:before="120" w:after="120"/>
        <w:rPr>
          <w:color w:val="000000" w:themeColor="text1"/>
          <w14:textFill>
            <w14:solidFill>
              <w14:schemeClr w14:val="tx1"/>
            </w14:solidFill>
          </w14:textFill>
        </w:rPr>
      </w:pPr>
      <w:bookmarkStart w:id="161" w:name="_Toc192800004"/>
      <w:bookmarkStart w:id="162" w:name="_Toc181715817"/>
      <w:bookmarkStart w:id="163" w:name="_Toc224251274"/>
      <w:bookmarkStart w:id="164" w:name="_Toc203252044"/>
      <w:bookmarkStart w:id="165" w:name="_Toc224251224"/>
      <w:bookmarkStart w:id="166" w:name="_Toc178319637"/>
      <w:bookmarkStart w:id="167" w:name="_Toc178151949"/>
      <w:bookmarkStart w:id="168" w:name="_Toc170806617"/>
      <w:bookmarkStart w:id="169" w:name="_Toc193230920"/>
      <w:bookmarkStart w:id="170" w:name="_Toc178152146"/>
      <w:bookmarkStart w:id="171" w:name="_Toc175179373"/>
      <w:r>
        <w:rPr>
          <w:rFonts w:hint="eastAsia"/>
          <w:color w:val="000000" w:themeColor="text1"/>
          <w14:textFill>
            <w14:solidFill>
              <w14:schemeClr w14:val="tx1"/>
            </w14:solidFill>
          </w14:textFill>
        </w:rPr>
        <w:t>养老机构日常/定期清洁</w:t>
      </w:r>
      <w:bookmarkEnd w:id="161"/>
      <w:bookmarkEnd w:id="162"/>
      <w:bookmarkEnd w:id="163"/>
      <w:bookmarkEnd w:id="164"/>
      <w:bookmarkEnd w:id="165"/>
      <w:bookmarkEnd w:id="166"/>
      <w:bookmarkEnd w:id="167"/>
      <w:bookmarkEnd w:id="168"/>
      <w:bookmarkEnd w:id="169"/>
      <w:bookmarkEnd w:id="170"/>
      <w:bookmarkEnd w:id="171"/>
    </w:p>
    <w:p w14:paraId="47510604">
      <w:pPr>
        <w:pStyle w:val="65"/>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工作准备</w:t>
      </w:r>
    </w:p>
    <w:p w14:paraId="766E5F18">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开展清洁卫生服务前，应做好以下工作准备：</w:t>
      </w:r>
    </w:p>
    <w:p w14:paraId="1B6A966B">
      <w:pPr>
        <w:pStyle w:val="174"/>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评估服务环境、清洁工具及劳保用品的安全性，根据需要准备清洁工具及用品；</w:t>
      </w:r>
    </w:p>
    <w:p w14:paraId="6669F857">
      <w:pPr>
        <w:pStyle w:val="174"/>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服务</w:t>
      </w:r>
      <w:r>
        <w:rPr>
          <w:rFonts w:hint="eastAsia"/>
        </w:rPr>
        <w:t>人员按七步洗手法洗净双手，</w:t>
      </w:r>
      <w:r>
        <w:rPr>
          <w:rFonts w:hint="eastAsia"/>
          <w:color w:val="000000" w:themeColor="text1"/>
          <w14:textFill>
            <w14:solidFill>
              <w14:schemeClr w14:val="tx1"/>
            </w14:solidFill>
          </w14:textFill>
        </w:rPr>
        <w:t>佩戴口罩、手套等；</w:t>
      </w:r>
    </w:p>
    <w:p w14:paraId="0AD9E6E9">
      <w:pPr>
        <w:pStyle w:val="174"/>
        <w:numPr>
          <w:ilvl w:val="0"/>
          <w:numId w:val="34"/>
        </w:numPr>
        <w:rPr>
          <w:color w:val="000000" w:themeColor="text1"/>
          <w14:textFill>
            <w14:solidFill>
              <w14:schemeClr w14:val="tx1"/>
            </w14:solidFill>
          </w14:textFill>
        </w:rPr>
      </w:pPr>
      <w:r>
        <w:rPr>
          <w:rFonts w:hint="eastAsia"/>
          <w:color w:val="000000" w:themeColor="text1"/>
          <w14:textFill>
            <w14:solidFill>
              <w14:schemeClr w14:val="tx1"/>
            </w14:solidFill>
          </w14:textFill>
        </w:rPr>
        <w:t>将洁具车、工具等放在不妨碍老年人活动及清洁卫生服务开展的位置，在显眼处放置清洁作业或防滑等提示标识牌；</w:t>
      </w:r>
    </w:p>
    <w:p w14:paraId="3E5D2CCF">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与老年人沟通取得配合。</w:t>
      </w:r>
    </w:p>
    <w:p w14:paraId="525D415E">
      <w:pPr>
        <w:pStyle w:val="65"/>
        <w:spacing w:before="120" w:after="120"/>
        <w:rPr>
          <w:color w:val="000000" w:themeColor="text1"/>
          <w14:textFill>
            <w14:solidFill>
              <w14:schemeClr w14:val="tx1"/>
            </w14:solidFill>
          </w14:textFill>
        </w:rPr>
      </w:pPr>
      <w:r>
        <w:rPr>
          <w:rFonts w:hint="eastAsia"/>
          <w:color w:val="000000" w:themeColor="text1"/>
          <w14:textFill>
            <w14:solidFill>
              <w14:schemeClr w14:val="tx1"/>
            </w14:solidFill>
          </w14:textFill>
        </w:rPr>
        <w:t>服务实施</w:t>
      </w:r>
    </w:p>
    <w:p w14:paraId="1F3708A2">
      <w:pPr>
        <w:pStyle w:val="56"/>
        <w:ind w:firstLine="420"/>
      </w:pPr>
      <w:r>
        <w:rPr>
          <w:rFonts w:hint="eastAsia"/>
        </w:rPr>
        <w:t>实施清洁卫生服务过程中，宜执行以下工作流程：</w:t>
      </w:r>
    </w:p>
    <w:p w14:paraId="50366F93">
      <w:pPr>
        <w:pStyle w:val="174"/>
        <w:numPr>
          <w:ilvl w:val="0"/>
          <w:numId w:val="35"/>
        </w:numPr>
      </w:pPr>
      <w:bookmarkStart w:id="172" w:name="_Hlk224138880"/>
      <w:r>
        <w:rPr>
          <w:rFonts w:hint="eastAsia"/>
        </w:rPr>
        <w:t>对室内空间</w:t>
      </w:r>
      <w:bookmarkEnd w:id="172"/>
      <w:r>
        <w:rPr>
          <w:rFonts w:hint="eastAsia"/>
        </w:rPr>
        <w:t>进行自然通风或机械通风；</w:t>
      </w:r>
    </w:p>
    <w:p w14:paraId="5AB69115">
      <w:pPr>
        <w:pStyle w:val="174"/>
        <w:numPr>
          <w:ilvl w:val="0"/>
          <w:numId w:val="35"/>
        </w:numPr>
      </w:pPr>
      <w:r>
        <w:rPr>
          <w:rFonts w:hint="eastAsia"/>
        </w:rPr>
        <w:t>将室内的物品进行简单整理，留出便于清洁的空间；</w:t>
      </w:r>
    </w:p>
    <w:p w14:paraId="34837E7D">
      <w:pPr>
        <w:pStyle w:val="174"/>
      </w:pPr>
      <w:r>
        <w:rPr>
          <w:rFonts w:hint="eastAsia"/>
        </w:rPr>
        <w:t>清理柜内、桌面等位置的杂物，倾倒垃圾；</w:t>
      </w:r>
    </w:p>
    <w:p w14:paraId="0EAFDED8">
      <w:pPr>
        <w:pStyle w:val="174"/>
      </w:pPr>
      <w:r>
        <w:rPr>
          <w:rFonts w:hint="eastAsia"/>
        </w:rPr>
        <w:t>进行高处清洁作业，清洁天花板、顶灯、空调等高处物体表面；</w:t>
      </w:r>
    </w:p>
    <w:p w14:paraId="2B0F6601">
      <w:pPr>
        <w:pStyle w:val="174"/>
      </w:pPr>
      <w:r>
        <w:rPr>
          <w:rFonts w:hint="eastAsia"/>
        </w:rPr>
        <w:t>进行低处清洁作业，清洁门窗、电器设备、家具等物体表面；</w:t>
      </w:r>
    </w:p>
    <w:p w14:paraId="181A5E0C">
      <w:pPr>
        <w:pStyle w:val="174"/>
      </w:pPr>
      <w:r>
        <w:rPr>
          <w:rFonts w:hint="eastAsia"/>
        </w:rPr>
        <w:t>进行地面清洁，</w:t>
      </w:r>
      <w:bookmarkStart w:id="173" w:name="_Hlk224139142"/>
      <w:r>
        <w:rPr>
          <w:rFonts w:hint="eastAsia"/>
        </w:rPr>
        <w:t>从室内的边角逐渐向中部区域推进，清除卫生死角</w:t>
      </w:r>
      <w:bookmarkEnd w:id="173"/>
      <w:r>
        <w:rPr>
          <w:rFonts w:hint="eastAsia"/>
        </w:rPr>
        <w:t>；</w:t>
      </w:r>
    </w:p>
    <w:p w14:paraId="71F55EAB">
      <w:pPr>
        <w:pStyle w:val="174"/>
      </w:pPr>
      <w:r>
        <w:rPr>
          <w:rFonts w:hint="eastAsia"/>
        </w:rPr>
        <w:t>在通风结束后视情况关闭门窗。</w:t>
      </w:r>
    </w:p>
    <w:p w14:paraId="7D8E2878">
      <w:pPr>
        <w:pStyle w:val="65"/>
        <w:spacing w:before="120" w:after="120"/>
      </w:pPr>
      <w:r>
        <w:rPr>
          <w:rFonts w:hint="eastAsia"/>
        </w:rPr>
        <w:t>服务结束</w:t>
      </w:r>
    </w:p>
    <w:p w14:paraId="1AE2826C">
      <w:pPr>
        <w:pStyle w:val="56"/>
        <w:ind w:firstLine="420"/>
      </w:pPr>
      <w:r>
        <w:rPr>
          <w:rFonts w:hint="eastAsia"/>
        </w:rPr>
        <w:t>清洁卫生服务结束前，应做好以下保障工作：</w:t>
      </w:r>
    </w:p>
    <w:p w14:paraId="642DC3C5">
      <w:pPr>
        <w:pStyle w:val="174"/>
        <w:numPr>
          <w:ilvl w:val="0"/>
          <w:numId w:val="36"/>
        </w:numPr>
      </w:pPr>
      <w:r>
        <w:rPr>
          <w:rFonts w:hint="eastAsia"/>
        </w:rPr>
        <w:t>检查清洁区域，确认清洁效果达到服务质量要求，无卫生死角、无遗留物品；</w:t>
      </w:r>
    </w:p>
    <w:p w14:paraId="4CA2BE0C">
      <w:pPr>
        <w:pStyle w:val="174"/>
      </w:pPr>
      <w:r>
        <w:rPr>
          <w:rFonts w:hint="eastAsia"/>
        </w:rPr>
        <w:t>将清洁区域内的所有物品及设备归位，不影响老年人的正常使用，不造成安全隐患；</w:t>
      </w:r>
    </w:p>
    <w:p w14:paraId="070CAA37">
      <w:pPr>
        <w:pStyle w:val="174"/>
      </w:pPr>
      <w:r>
        <w:rPr>
          <w:rFonts w:hint="eastAsia"/>
        </w:rPr>
        <w:t>整理清洁工具，按要求进行清洗消毒、干燥处理，确保所有清洁工具处于备用状态；</w:t>
      </w:r>
    </w:p>
    <w:p w14:paraId="7DAA72F0">
      <w:pPr>
        <w:pStyle w:val="174"/>
      </w:pPr>
      <w:r>
        <w:rPr>
          <w:rFonts w:hint="eastAsia"/>
        </w:rPr>
        <w:t>按七步洗手法洗净双手并做好服务记录，见附录B。</w:t>
      </w:r>
    </w:p>
    <w:p w14:paraId="0D495052">
      <w:pPr>
        <w:pStyle w:val="105"/>
        <w:spacing w:before="120" w:after="120"/>
      </w:pPr>
      <w:bookmarkStart w:id="174" w:name="_Toc178152147"/>
      <w:bookmarkStart w:id="175" w:name="_Toc192800005"/>
      <w:bookmarkStart w:id="176" w:name="_Toc224251225"/>
      <w:bookmarkStart w:id="177" w:name="_Toc175179374"/>
      <w:bookmarkStart w:id="178" w:name="_Toc193230921"/>
      <w:bookmarkStart w:id="179" w:name="_Toc203252045"/>
      <w:bookmarkStart w:id="180" w:name="_Toc170806618"/>
      <w:bookmarkStart w:id="181" w:name="_Toc181715818"/>
      <w:bookmarkStart w:id="182" w:name="_Toc178151950"/>
      <w:bookmarkStart w:id="183" w:name="_Toc224251275"/>
      <w:bookmarkStart w:id="184" w:name="_Toc178319638"/>
      <w:r>
        <w:rPr>
          <w:rFonts w:hint="eastAsia"/>
        </w:rPr>
        <w:t>老年人居室终末清洁</w:t>
      </w:r>
      <w:bookmarkEnd w:id="174"/>
      <w:bookmarkEnd w:id="175"/>
      <w:bookmarkEnd w:id="176"/>
      <w:bookmarkEnd w:id="177"/>
      <w:bookmarkEnd w:id="178"/>
      <w:bookmarkEnd w:id="179"/>
      <w:bookmarkEnd w:id="180"/>
      <w:bookmarkEnd w:id="181"/>
      <w:bookmarkEnd w:id="182"/>
      <w:bookmarkEnd w:id="183"/>
      <w:bookmarkEnd w:id="184"/>
    </w:p>
    <w:p w14:paraId="091C4D7A">
      <w:pPr>
        <w:pStyle w:val="65"/>
        <w:spacing w:before="120" w:after="120"/>
      </w:pPr>
      <w:bookmarkStart w:id="185" w:name="_Hlk202867204"/>
      <w:r>
        <w:rPr>
          <w:rFonts w:hint="eastAsia"/>
        </w:rPr>
        <w:t>工作准备</w:t>
      </w:r>
    </w:p>
    <w:p w14:paraId="0D630C1D">
      <w:pPr>
        <w:pStyle w:val="56"/>
        <w:ind w:firstLine="420"/>
      </w:pPr>
      <w:r>
        <w:rPr>
          <w:rFonts w:hint="eastAsia"/>
        </w:rPr>
        <w:t>开展清洁卫生服务前，应做好以下工作准备：</w:t>
      </w:r>
    </w:p>
    <w:p w14:paraId="698ABFE3">
      <w:pPr>
        <w:pStyle w:val="174"/>
        <w:numPr>
          <w:ilvl w:val="0"/>
          <w:numId w:val="37"/>
        </w:numPr>
      </w:pPr>
      <w:r>
        <w:rPr>
          <w:rFonts w:hint="eastAsia"/>
        </w:rPr>
        <w:t>评估服务环境、清洁工具及劳保用品的安全性，根据需要准备清洁工具及用品；</w:t>
      </w:r>
    </w:p>
    <w:p w14:paraId="15938755">
      <w:pPr>
        <w:pStyle w:val="174"/>
      </w:pPr>
      <w:r>
        <w:rPr>
          <w:rFonts w:hint="eastAsia"/>
        </w:rPr>
        <w:t>服务人员按七步洗手法洗净双手，佩戴口罩、手套等，必要时增加防护用品。</w:t>
      </w:r>
    </w:p>
    <w:p w14:paraId="30DD5763">
      <w:pPr>
        <w:pStyle w:val="65"/>
        <w:spacing w:before="120" w:after="120"/>
      </w:pPr>
      <w:r>
        <w:rPr>
          <w:rFonts w:hint="eastAsia"/>
        </w:rPr>
        <w:t>服务实施</w:t>
      </w:r>
    </w:p>
    <w:p w14:paraId="682F2816">
      <w:pPr>
        <w:pStyle w:val="56"/>
        <w:ind w:firstLine="420"/>
      </w:pPr>
      <w:r>
        <w:rPr>
          <w:rFonts w:hint="eastAsia"/>
        </w:rPr>
        <w:t>实施终末清洁过程中，宜执行以下工作流程：</w:t>
      </w:r>
    </w:p>
    <w:p w14:paraId="5D3E4A24">
      <w:pPr>
        <w:pStyle w:val="174"/>
        <w:numPr>
          <w:ilvl w:val="0"/>
          <w:numId w:val="38"/>
        </w:numPr>
      </w:pPr>
      <w:r>
        <w:rPr>
          <w:rFonts w:hint="eastAsia"/>
        </w:rPr>
        <w:t>对室内空间进行自然通风或机械通风；</w:t>
      </w:r>
    </w:p>
    <w:p w14:paraId="6AEE9757">
      <w:pPr>
        <w:pStyle w:val="174"/>
        <w:numPr>
          <w:ilvl w:val="0"/>
          <w:numId w:val="38"/>
        </w:numPr>
      </w:pPr>
      <w:r>
        <w:rPr>
          <w:rFonts w:hint="eastAsia"/>
        </w:rPr>
        <w:t>将室内的物品进行简单整理，留出便于清洁的空间；</w:t>
      </w:r>
    </w:p>
    <w:p w14:paraId="4C6453DC">
      <w:pPr>
        <w:pStyle w:val="174"/>
        <w:numPr>
          <w:ilvl w:val="0"/>
          <w:numId w:val="38"/>
        </w:numPr>
      </w:pPr>
      <w:r>
        <w:rPr>
          <w:rFonts w:hint="eastAsia"/>
        </w:rPr>
        <w:t>撤下床单、被套、枕套等，重复使用的床上用品可送洗，清洁并暴晒床垫、被芯和枕芯；</w:t>
      </w:r>
    </w:p>
    <w:p w14:paraId="6394C557">
      <w:pPr>
        <w:pStyle w:val="174"/>
      </w:pPr>
      <w:r>
        <w:rPr>
          <w:rFonts w:hint="eastAsia"/>
        </w:rPr>
        <w:t>清理柜内、桌面等位置的杂物，倾倒垃圾；</w:t>
      </w:r>
    </w:p>
    <w:p w14:paraId="147DF1E6">
      <w:pPr>
        <w:pStyle w:val="174"/>
      </w:pPr>
      <w:r>
        <w:rPr>
          <w:rFonts w:hint="eastAsia"/>
        </w:rPr>
        <w:t>擦拭家具及设备设施表面；</w:t>
      </w:r>
    </w:p>
    <w:p w14:paraId="6407FA65">
      <w:pPr>
        <w:pStyle w:val="174"/>
      </w:pPr>
      <w:r>
        <w:rPr>
          <w:rFonts w:hint="eastAsia"/>
        </w:rPr>
        <w:t>进行地面清洁，从室内的边角逐渐向中部区域推进，清除卫生死角；</w:t>
      </w:r>
    </w:p>
    <w:p w14:paraId="58F64D5B">
      <w:pPr>
        <w:pStyle w:val="174"/>
      </w:pPr>
      <w:r>
        <w:rPr>
          <w:rFonts w:hint="eastAsia"/>
        </w:rPr>
        <w:t>关闭门窗、打开柜子；</w:t>
      </w:r>
    </w:p>
    <w:p w14:paraId="372B71AF">
      <w:pPr>
        <w:pStyle w:val="174"/>
      </w:pPr>
      <w:r>
        <w:rPr>
          <w:rFonts w:hint="eastAsia"/>
        </w:rPr>
        <w:t>用紫外线灯照射，或使用空气消毒机、床位消毒机等设备进行清洁消毒；</w:t>
      </w:r>
    </w:p>
    <w:p w14:paraId="121F2F31">
      <w:pPr>
        <w:pStyle w:val="174"/>
        <w:rPr>
          <w:color w:val="000000" w:themeColor="text1"/>
          <w14:textFill>
            <w14:solidFill>
              <w14:schemeClr w14:val="tx1"/>
            </w14:solidFill>
          </w14:textFill>
        </w:rPr>
      </w:pPr>
      <w:r>
        <w:rPr>
          <w:rFonts w:hint="eastAsia"/>
          <w:color w:val="000000" w:themeColor="text1"/>
          <w14:textFill>
            <w14:solidFill>
              <w14:schemeClr w14:val="tx1"/>
            </w14:solidFill>
          </w14:textFill>
        </w:rPr>
        <w:t>打开居室门窗通风换气。</w:t>
      </w:r>
    </w:p>
    <w:p w14:paraId="58726B83">
      <w:pPr>
        <w:pStyle w:val="65"/>
        <w:spacing w:before="120" w:after="120"/>
      </w:pPr>
      <w:r>
        <w:rPr>
          <w:rFonts w:hint="eastAsia"/>
        </w:rPr>
        <w:t>服务结束</w:t>
      </w:r>
    </w:p>
    <w:p w14:paraId="400F05E3">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清洁卫生服务结束前，应做好以下保障工作：</w:t>
      </w:r>
    </w:p>
    <w:p w14:paraId="7F75CA90">
      <w:pPr>
        <w:pStyle w:val="174"/>
        <w:numPr>
          <w:ilvl w:val="0"/>
          <w:numId w:val="39"/>
        </w:numPr>
      </w:pPr>
      <w:r>
        <w:rPr>
          <w:rFonts w:hint="eastAsia"/>
          <w:color w:val="000000" w:themeColor="text1"/>
          <w14:textFill>
            <w14:solidFill>
              <w14:schemeClr w14:val="tx1"/>
            </w14:solidFill>
          </w14:textFill>
        </w:rPr>
        <w:t>检查清洁区域，确认清洁效果达到服务</w:t>
      </w:r>
      <w:r>
        <w:rPr>
          <w:rFonts w:hint="eastAsia"/>
        </w:rPr>
        <w:t>质量要求，无卫生死角、无遗留物品；</w:t>
      </w:r>
    </w:p>
    <w:p w14:paraId="35BA71C7">
      <w:pPr>
        <w:pStyle w:val="174"/>
      </w:pPr>
      <w:r>
        <w:rPr>
          <w:rFonts w:hint="eastAsia"/>
        </w:rPr>
        <w:t>将清洁区域内的所有物品及设备归位；</w:t>
      </w:r>
    </w:p>
    <w:p w14:paraId="1939CACC">
      <w:pPr>
        <w:pStyle w:val="174"/>
      </w:pPr>
      <w:r>
        <w:rPr>
          <w:rFonts w:hint="eastAsia"/>
        </w:rPr>
        <w:t>整理清洁工具，按要求进行清洗消毒、干燥处理，确保所有清洁工具处于备用状态；</w:t>
      </w:r>
    </w:p>
    <w:p w14:paraId="132B78BB">
      <w:pPr>
        <w:pStyle w:val="174"/>
      </w:pPr>
      <w:r>
        <w:rPr>
          <w:rFonts w:hint="eastAsia"/>
        </w:rPr>
        <w:t>脱防护用品，按七步洗手法洗净双手；</w:t>
      </w:r>
    </w:p>
    <w:p w14:paraId="53B7071E">
      <w:pPr>
        <w:pStyle w:val="174"/>
        <w:rPr>
          <w:color w:val="000000" w:themeColor="text1"/>
          <w14:textFill>
            <w14:solidFill>
              <w14:schemeClr w14:val="tx1"/>
            </w14:solidFill>
          </w14:textFill>
        </w:rPr>
      </w:pPr>
      <w:r>
        <w:rPr>
          <w:rFonts w:hint="eastAsia"/>
        </w:rPr>
        <w:t>做好服务记录并妥善存档，服务记录见附录</w:t>
      </w:r>
      <w:r>
        <w:rPr>
          <w:rFonts w:hint="eastAsia"/>
          <w:color w:val="000000" w:themeColor="text1"/>
          <w14:textFill>
            <w14:solidFill>
              <w14:schemeClr w14:val="tx1"/>
            </w14:solidFill>
          </w14:textFill>
        </w:rPr>
        <w:t>C。</w:t>
      </w:r>
    </w:p>
    <w:bookmarkEnd w:id="185"/>
    <w:p w14:paraId="1FBD6B15">
      <w:pPr>
        <w:pStyle w:val="104"/>
        <w:spacing w:before="240" w:after="240"/>
        <w:rPr>
          <w:color w:val="000000" w:themeColor="text1"/>
          <w14:textFill>
            <w14:solidFill>
              <w14:schemeClr w14:val="tx1"/>
            </w14:solidFill>
          </w14:textFill>
        </w:rPr>
      </w:pPr>
      <w:bookmarkStart w:id="186" w:name="_Toc170806633"/>
      <w:bookmarkStart w:id="187" w:name="_Toc175179383"/>
      <w:bookmarkStart w:id="188" w:name="_Toc181715827"/>
      <w:bookmarkStart w:id="189" w:name="_Toc178152156"/>
      <w:bookmarkStart w:id="190" w:name="_Toc178151959"/>
      <w:bookmarkStart w:id="191" w:name="_Toc203252046"/>
      <w:bookmarkStart w:id="192" w:name="_Toc224251226"/>
      <w:bookmarkStart w:id="193" w:name="_Toc178319647"/>
      <w:bookmarkStart w:id="194" w:name="_Toc193230922"/>
      <w:bookmarkStart w:id="195" w:name="_Toc192800006"/>
      <w:bookmarkStart w:id="196" w:name="_Toc224251276"/>
      <w:r>
        <w:rPr>
          <w:rFonts w:hint="eastAsia"/>
          <w:color w:val="000000" w:themeColor="text1"/>
          <w14:textFill>
            <w14:solidFill>
              <w14:schemeClr w14:val="tx1"/>
            </w14:solidFill>
          </w14:textFill>
        </w:rPr>
        <w:t>服务评价与改进</w:t>
      </w:r>
      <w:bookmarkEnd w:id="186"/>
      <w:bookmarkEnd w:id="187"/>
      <w:bookmarkEnd w:id="188"/>
      <w:bookmarkEnd w:id="189"/>
      <w:bookmarkEnd w:id="190"/>
      <w:bookmarkEnd w:id="191"/>
      <w:bookmarkEnd w:id="192"/>
      <w:bookmarkEnd w:id="193"/>
      <w:bookmarkEnd w:id="194"/>
      <w:bookmarkEnd w:id="195"/>
      <w:bookmarkEnd w:id="196"/>
    </w:p>
    <w:p w14:paraId="0C6F2AEF">
      <w:pPr>
        <w:pStyle w:val="162"/>
      </w:pPr>
      <w:r>
        <w:rPr>
          <w:rFonts w:hint="eastAsia"/>
        </w:rPr>
        <w:t>机构应设服务质量检查部门或人员，制定质量检查计划，每周至少检查1次。服务质量评价内容包括但不限于现场清洁质量、服务态度、人员培训、服务流程及操作方法的掌握程度、服务记录。</w:t>
      </w:r>
    </w:p>
    <w:p w14:paraId="2F131D52">
      <w:pPr>
        <w:pStyle w:val="162"/>
      </w:pPr>
      <w:r>
        <w:rPr>
          <w:rFonts w:hint="eastAsia"/>
        </w:rPr>
        <w:t>应定期对老年人及相关第三方进行服务满意度调查，可采用问卷调查、访谈、座谈会等多种方式。</w:t>
      </w:r>
    </w:p>
    <w:p w14:paraId="3363CD58">
      <w:pPr>
        <w:pStyle w:val="162"/>
      </w:pPr>
      <w:r>
        <w:rPr>
          <w:rFonts w:hint="eastAsia"/>
        </w:rPr>
        <w:t>采取服务外包的方式时，应对服务质量进行监管，通过日常抽查、定期检查等方式进行评价。</w:t>
      </w:r>
    </w:p>
    <w:p w14:paraId="3E5B64D9">
      <w:pPr>
        <w:pStyle w:val="162"/>
      </w:pPr>
      <w:r>
        <w:rPr>
          <w:rFonts w:hint="eastAsia"/>
        </w:rPr>
        <w:t>应对质量检查存在的问题、改进措施及跟踪情况等进行记录，并及时将监督检查结果反馈给相关部门及人员，监督并跟踪整改情况，持续改进服务质量。</w:t>
      </w:r>
    </w:p>
    <w:p w14:paraId="1F767074">
      <w:pPr>
        <w:pStyle w:val="162"/>
        <w:sectPr>
          <w:pgSz w:w="11906" w:h="16838"/>
          <w:pgMar w:top="1928" w:right="1134" w:bottom="1134" w:left="1134" w:header="1418" w:footer="1134" w:gutter="284"/>
          <w:pgNumType w:start="1"/>
          <w:cols w:space="425" w:num="1"/>
          <w:formProt w:val="0"/>
          <w:docGrid w:linePitch="312" w:charSpace="0"/>
        </w:sectPr>
      </w:pPr>
    </w:p>
    <w:bookmarkEnd w:id="25"/>
    <w:p w14:paraId="15D4EAFA">
      <w:pPr>
        <w:pStyle w:val="198"/>
        <w:rPr>
          <w:vanish w:val="0"/>
        </w:rPr>
      </w:pPr>
      <w:bookmarkStart w:id="197" w:name="BookMark5"/>
    </w:p>
    <w:p w14:paraId="60BCC349">
      <w:pPr>
        <w:pStyle w:val="199"/>
        <w:rPr>
          <w:vanish w:val="0"/>
        </w:rPr>
      </w:pPr>
    </w:p>
    <w:p w14:paraId="03EFE44F">
      <w:pPr>
        <w:pStyle w:val="76"/>
        <w:spacing w:after="120"/>
      </w:pPr>
      <w:r>
        <w:br w:type="textWrapping"/>
      </w:r>
      <w:bookmarkStart w:id="198" w:name="_Toc224251277"/>
      <w:bookmarkStart w:id="199" w:name="_Toc224251227"/>
      <w:r>
        <w:rPr>
          <w:rFonts w:hint="eastAsia"/>
        </w:rPr>
        <w:t>（资料性）</w:t>
      </w:r>
      <w:r>
        <w:br w:type="textWrapping"/>
      </w:r>
      <w:r>
        <w:rPr>
          <w:rFonts w:hint="eastAsia"/>
        </w:rPr>
        <w:t>清洁工具消毒记录表</w:t>
      </w:r>
      <w:bookmarkEnd w:id="198"/>
      <w:bookmarkEnd w:id="199"/>
    </w:p>
    <w:p w14:paraId="4A1AF2E6">
      <w:pPr>
        <w:pStyle w:val="56"/>
        <w:ind w:firstLine="420"/>
      </w:pPr>
      <w:r>
        <w:rPr>
          <w:rFonts w:hint="eastAsia"/>
        </w:rPr>
        <w:t>清洁工具在实施清洁消毒后记录的内容示例见表A.1。</w:t>
      </w:r>
    </w:p>
    <w:p w14:paraId="38722E19">
      <w:pPr>
        <w:pStyle w:val="77"/>
        <w:spacing w:before="120" w:after="120"/>
      </w:pPr>
      <w:r>
        <w:rPr>
          <w:rFonts w:hint="eastAsia"/>
        </w:rPr>
        <w:t>清洁工具消毒记录表</w:t>
      </w:r>
    </w:p>
    <w:tbl>
      <w:tblPr>
        <w:tblStyle w:val="26"/>
        <w:tblW w:w="9309" w:type="dxa"/>
        <w:jc w:val="center"/>
        <w:tblLayout w:type="fixed"/>
        <w:tblCellMar>
          <w:top w:w="0" w:type="dxa"/>
          <w:left w:w="108" w:type="dxa"/>
          <w:bottom w:w="0" w:type="dxa"/>
          <w:right w:w="108" w:type="dxa"/>
        </w:tblCellMar>
      </w:tblPr>
      <w:tblGrid>
        <w:gridCol w:w="1271"/>
        <w:gridCol w:w="992"/>
        <w:gridCol w:w="1134"/>
        <w:gridCol w:w="1160"/>
        <w:gridCol w:w="1108"/>
        <w:gridCol w:w="941"/>
        <w:gridCol w:w="710"/>
        <w:gridCol w:w="761"/>
        <w:gridCol w:w="1232"/>
      </w:tblGrid>
      <w:tr w14:paraId="2E878820">
        <w:tblPrEx>
          <w:tblCellMar>
            <w:top w:w="0" w:type="dxa"/>
            <w:left w:w="108" w:type="dxa"/>
            <w:bottom w:w="0" w:type="dxa"/>
            <w:right w:w="108" w:type="dxa"/>
          </w:tblCellMar>
        </w:tblPrEx>
        <w:trPr>
          <w:trHeight w:val="449" w:hRule="atLeast"/>
          <w:jc w:val="center"/>
        </w:trPr>
        <w:tc>
          <w:tcPr>
            <w:tcW w:w="1271" w:type="dxa"/>
            <w:vMerge w:val="restart"/>
            <w:tcBorders>
              <w:top w:val="single" w:color="000000" w:sz="4" w:space="0"/>
              <w:left w:val="single" w:color="000000" w:sz="4" w:space="0"/>
              <w:bottom w:val="single" w:color="000000" w:sz="4" w:space="0"/>
              <w:right w:val="single" w:color="000000" w:sz="4" w:space="0"/>
            </w:tcBorders>
            <w:noWrap/>
            <w:vAlign w:val="center"/>
          </w:tcPr>
          <w:p w14:paraId="17BAB171">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日期</w:t>
            </w:r>
          </w:p>
        </w:tc>
        <w:tc>
          <w:tcPr>
            <w:tcW w:w="992" w:type="dxa"/>
            <w:vMerge w:val="restart"/>
            <w:tcBorders>
              <w:top w:val="single" w:color="000000" w:sz="4" w:space="0"/>
              <w:left w:val="nil"/>
              <w:bottom w:val="single" w:color="000000" w:sz="4" w:space="0"/>
              <w:right w:val="single" w:color="000000" w:sz="4" w:space="0"/>
            </w:tcBorders>
            <w:noWrap/>
            <w:vAlign w:val="center"/>
          </w:tcPr>
          <w:p w14:paraId="01A4EBF9">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时间</w:t>
            </w:r>
          </w:p>
        </w:tc>
        <w:tc>
          <w:tcPr>
            <w:tcW w:w="4343" w:type="dxa"/>
            <w:gridSpan w:val="4"/>
            <w:tcBorders>
              <w:top w:val="single" w:color="000000" w:sz="4" w:space="0"/>
              <w:left w:val="nil"/>
              <w:bottom w:val="single" w:color="000000" w:sz="4" w:space="0"/>
              <w:right w:val="single" w:color="000000" w:sz="4" w:space="0"/>
            </w:tcBorders>
            <w:noWrap/>
            <w:vAlign w:val="center"/>
          </w:tcPr>
          <w:p w14:paraId="0F49D379">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消毒工具（打“√”）</w:t>
            </w:r>
          </w:p>
        </w:tc>
        <w:tc>
          <w:tcPr>
            <w:tcW w:w="710" w:type="dxa"/>
            <w:vMerge w:val="restart"/>
            <w:tcBorders>
              <w:top w:val="single" w:color="000000" w:sz="4" w:space="0"/>
              <w:left w:val="nil"/>
              <w:bottom w:val="single" w:color="000000" w:sz="4" w:space="0"/>
              <w:right w:val="single" w:color="000000" w:sz="4" w:space="0"/>
            </w:tcBorders>
            <w:noWrap/>
            <w:vAlign w:val="center"/>
          </w:tcPr>
          <w:p w14:paraId="5EE0FD81">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消毒方式</w:t>
            </w:r>
          </w:p>
        </w:tc>
        <w:tc>
          <w:tcPr>
            <w:tcW w:w="761" w:type="dxa"/>
            <w:vMerge w:val="restart"/>
            <w:tcBorders>
              <w:top w:val="single" w:color="000000" w:sz="4" w:space="0"/>
              <w:left w:val="nil"/>
              <w:bottom w:val="single" w:color="000000" w:sz="4" w:space="0"/>
              <w:right w:val="single" w:color="000000" w:sz="4" w:space="0"/>
            </w:tcBorders>
            <w:noWrap/>
            <w:vAlign w:val="center"/>
          </w:tcPr>
          <w:p w14:paraId="4446167E">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消毒时长</w:t>
            </w:r>
          </w:p>
        </w:tc>
        <w:tc>
          <w:tcPr>
            <w:tcW w:w="1232" w:type="dxa"/>
            <w:vMerge w:val="restart"/>
            <w:tcBorders>
              <w:top w:val="single" w:color="000000" w:sz="4" w:space="0"/>
              <w:left w:val="nil"/>
              <w:bottom w:val="single" w:color="000000" w:sz="4" w:space="0"/>
              <w:right w:val="single" w:color="000000" w:sz="4" w:space="0"/>
            </w:tcBorders>
            <w:noWrap/>
            <w:vAlign w:val="center"/>
          </w:tcPr>
          <w:p w14:paraId="68F15D47">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执行者</w:t>
            </w:r>
          </w:p>
          <w:p w14:paraId="311FBFAD">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签名</w:t>
            </w:r>
          </w:p>
        </w:tc>
      </w:tr>
      <w:tr w14:paraId="7D2A77D7">
        <w:tblPrEx>
          <w:tblCellMar>
            <w:top w:w="0" w:type="dxa"/>
            <w:left w:w="108" w:type="dxa"/>
            <w:bottom w:w="0" w:type="dxa"/>
            <w:right w:w="108" w:type="dxa"/>
          </w:tblCellMar>
        </w:tblPrEx>
        <w:trPr>
          <w:trHeight w:val="481" w:hRule="atLeast"/>
          <w:jc w:val="center"/>
        </w:trPr>
        <w:tc>
          <w:tcPr>
            <w:tcW w:w="1271" w:type="dxa"/>
            <w:vMerge w:val="continue"/>
            <w:tcBorders>
              <w:top w:val="single" w:color="000000" w:sz="4" w:space="0"/>
              <w:left w:val="single" w:color="000000" w:sz="4" w:space="0"/>
              <w:bottom w:val="single" w:color="000000" w:sz="4" w:space="0"/>
              <w:right w:val="single" w:color="000000" w:sz="4" w:space="0"/>
            </w:tcBorders>
            <w:vAlign w:val="center"/>
          </w:tcPr>
          <w:p w14:paraId="7B937A26">
            <w:pPr>
              <w:widowControl/>
              <w:adjustRightInd/>
              <w:spacing w:line="240" w:lineRule="auto"/>
              <w:jc w:val="left"/>
              <w:rPr>
                <w:rFonts w:ascii="宋体" w:hAnsi="宋体"/>
                <w:color w:val="000000" w:themeColor="text1"/>
                <w:kern w:val="0"/>
                <w14:textFill>
                  <w14:solidFill>
                    <w14:schemeClr w14:val="tx1"/>
                  </w14:solidFill>
                </w14:textFill>
              </w:rPr>
            </w:pPr>
          </w:p>
        </w:tc>
        <w:tc>
          <w:tcPr>
            <w:tcW w:w="992" w:type="dxa"/>
            <w:vMerge w:val="continue"/>
            <w:tcBorders>
              <w:top w:val="single" w:color="000000" w:sz="4" w:space="0"/>
              <w:left w:val="nil"/>
              <w:bottom w:val="single" w:color="000000" w:sz="4" w:space="0"/>
              <w:right w:val="single" w:color="000000" w:sz="4" w:space="0"/>
            </w:tcBorders>
            <w:vAlign w:val="center"/>
          </w:tcPr>
          <w:p w14:paraId="7466BCA6">
            <w:pPr>
              <w:widowControl/>
              <w:adjustRightInd/>
              <w:spacing w:line="240" w:lineRule="auto"/>
              <w:jc w:val="left"/>
              <w:rPr>
                <w:rFonts w:ascii="宋体" w:hAnsi="宋体"/>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10AF4746">
            <w:pPr>
              <w:widowControl/>
              <w:jc w:val="center"/>
              <w:rPr>
                <w:rFonts w:ascii="宋体" w:hAnsi="宋体"/>
                <w:kern w:val="0"/>
              </w:rPr>
            </w:pPr>
            <w:r>
              <w:rPr>
                <w:rFonts w:hint="eastAsia" w:ascii="宋体" w:hAnsi="宋体"/>
                <w:kern w:val="0"/>
              </w:rPr>
              <w:t>布巾</w:t>
            </w:r>
          </w:p>
        </w:tc>
        <w:tc>
          <w:tcPr>
            <w:tcW w:w="1160" w:type="dxa"/>
            <w:tcBorders>
              <w:top w:val="single" w:color="000000" w:sz="4" w:space="0"/>
              <w:left w:val="nil"/>
              <w:bottom w:val="single" w:color="000000" w:sz="4" w:space="0"/>
              <w:right w:val="single" w:color="000000" w:sz="4" w:space="0"/>
            </w:tcBorders>
            <w:noWrap/>
            <w:vAlign w:val="center"/>
          </w:tcPr>
          <w:p w14:paraId="7859782C">
            <w:pPr>
              <w:widowControl/>
              <w:jc w:val="center"/>
              <w:rPr>
                <w:rFonts w:ascii="宋体" w:hAnsi="宋体"/>
                <w:kern w:val="0"/>
              </w:rPr>
            </w:pPr>
            <w:r>
              <w:rPr>
                <w:rFonts w:hint="eastAsia" w:ascii="宋体" w:hAnsi="宋体"/>
                <w:kern w:val="0"/>
              </w:rPr>
              <w:t>地巾</w:t>
            </w:r>
          </w:p>
        </w:tc>
        <w:tc>
          <w:tcPr>
            <w:tcW w:w="1108" w:type="dxa"/>
            <w:tcBorders>
              <w:top w:val="single" w:color="000000" w:sz="4" w:space="0"/>
              <w:left w:val="nil"/>
              <w:bottom w:val="single" w:color="000000" w:sz="4" w:space="0"/>
              <w:right w:val="single" w:color="000000" w:sz="4" w:space="0"/>
            </w:tcBorders>
            <w:noWrap/>
            <w:vAlign w:val="center"/>
          </w:tcPr>
          <w:p w14:paraId="26B8F734">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清洁容器</w:t>
            </w:r>
          </w:p>
        </w:tc>
        <w:tc>
          <w:tcPr>
            <w:tcW w:w="941" w:type="dxa"/>
            <w:tcBorders>
              <w:top w:val="single" w:color="000000" w:sz="4" w:space="0"/>
              <w:left w:val="nil"/>
              <w:bottom w:val="single" w:color="000000" w:sz="4" w:space="0"/>
              <w:right w:val="single" w:color="000000" w:sz="4" w:space="0"/>
            </w:tcBorders>
            <w:noWrap/>
            <w:vAlign w:val="center"/>
          </w:tcPr>
          <w:p w14:paraId="1FB0352C">
            <w:pPr>
              <w:widowControl/>
              <w:jc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w:t>
            </w:r>
          </w:p>
        </w:tc>
        <w:tc>
          <w:tcPr>
            <w:tcW w:w="710" w:type="dxa"/>
            <w:vMerge w:val="continue"/>
            <w:tcBorders>
              <w:top w:val="single" w:color="000000" w:sz="4" w:space="0"/>
              <w:left w:val="nil"/>
              <w:bottom w:val="single" w:color="000000" w:sz="4" w:space="0"/>
              <w:right w:val="single" w:color="000000" w:sz="4" w:space="0"/>
            </w:tcBorders>
            <w:vAlign w:val="center"/>
          </w:tcPr>
          <w:p w14:paraId="12643E8A">
            <w:pPr>
              <w:widowControl/>
              <w:adjustRightInd/>
              <w:spacing w:line="240" w:lineRule="auto"/>
              <w:jc w:val="left"/>
              <w:rPr>
                <w:rFonts w:ascii="宋体" w:hAnsi="宋体"/>
                <w:color w:val="000000" w:themeColor="text1"/>
                <w:kern w:val="0"/>
                <w14:textFill>
                  <w14:solidFill>
                    <w14:schemeClr w14:val="tx1"/>
                  </w14:solidFill>
                </w14:textFill>
              </w:rPr>
            </w:pPr>
          </w:p>
        </w:tc>
        <w:tc>
          <w:tcPr>
            <w:tcW w:w="761" w:type="dxa"/>
            <w:vMerge w:val="continue"/>
            <w:tcBorders>
              <w:top w:val="single" w:color="000000" w:sz="4" w:space="0"/>
              <w:left w:val="nil"/>
              <w:bottom w:val="single" w:color="000000" w:sz="4" w:space="0"/>
              <w:right w:val="single" w:color="000000" w:sz="4" w:space="0"/>
            </w:tcBorders>
            <w:vAlign w:val="center"/>
          </w:tcPr>
          <w:p w14:paraId="3AB709AF">
            <w:pPr>
              <w:widowControl/>
              <w:adjustRightInd/>
              <w:spacing w:line="240" w:lineRule="auto"/>
              <w:jc w:val="left"/>
              <w:rPr>
                <w:rFonts w:ascii="宋体" w:hAnsi="宋体"/>
                <w:color w:val="000000" w:themeColor="text1"/>
                <w:kern w:val="0"/>
                <w14:textFill>
                  <w14:solidFill>
                    <w14:schemeClr w14:val="tx1"/>
                  </w14:solidFill>
                </w14:textFill>
              </w:rPr>
            </w:pPr>
          </w:p>
        </w:tc>
        <w:tc>
          <w:tcPr>
            <w:tcW w:w="1232" w:type="dxa"/>
            <w:vMerge w:val="continue"/>
            <w:tcBorders>
              <w:top w:val="single" w:color="000000" w:sz="4" w:space="0"/>
              <w:left w:val="nil"/>
              <w:bottom w:val="single" w:color="000000" w:sz="4" w:space="0"/>
              <w:right w:val="single" w:color="000000" w:sz="4" w:space="0"/>
            </w:tcBorders>
            <w:vAlign w:val="center"/>
          </w:tcPr>
          <w:p w14:paraId="763B1B0D">
            <w:pPr>
              <w:widowControl/>
              <w:adjustRightInd/>
              <w:spacing w:line="240" w:lineRule="auto"/>
              <w:jc w:val="left"/>
              <w:rPr>
                <w:rFonts w:ascii="宋体" w:hAnsi="宋体"/>
                <w:color w:val="000000" w:themeColor="text1"/>
                <w:kern w:val="0"/>
                <w14:textFill>
                  <w14:solidFill>
                    <w14:schemeClr w14:val="tx1"/>
                  </w14:solidFill>
                </w14:textFill>
              </w:rPr>
            </w:pPr>
          </w:p>
        </w:tc>
      </w:tr>
      <w:tr w14:paraId="17840577">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4547BDC4">
            <w:pPr>
              <w:widowControl/>
              <w:jc w:val="center"/>
              <w:rPr>
                <w:rFonts w:ascii="宋体" w:hAnsi="宋体"/>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38F45E01">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2114991C">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4F63E96C">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753AF109">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4378EC5C">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64E44693">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670F9830">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507F93D7">
            <w:pPr>
              <w:widowControl/>
              <w:jc w:val="center"/>
              <w:rPr>
                <w:rFonts w:ascii="Times New Roman" w:hAnsi="Times New Roman"/>
                <w:color w:val="000000" w:themeColor="text1"/>
                <w:kern w:val="0"/>
                <w14:textFill>
                  <w14:solidFill>
                    <w14:schemeClr w14:val="tx1"/>
                  </w14:solidFill>
                </w14:textFill>
              </w:rPr>
            </w:pPr>
          </w:p>
        </w:tc>
      </w:tr>
      <w:tr w14:paraId="2C4494D0">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33E49143">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3D5FAED4">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23BDF9B7">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0CC4C326">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4F3676E2">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52548607">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376DB992">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7693878E">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49D216E1">
            <w:pPr>
              <w:widowControl/>
              <w:jc w:val="center"/>
              <w:rPr>
                <w:rFonts w:ascii="Times New Roman" w:hAnsi="Times New Roman"/>
                <w:color w:val="000000" w:themeColor="text1"/>
                <w:kern w:val="0"/>
                <w14:textFill>
                  <w14:solidFill>
                    <w14:schemeClr w14:val="tx1"/>
                  </w14:solidFill>
                </w14:textFill>
              </w:rPr>
            </w:pPr>
          </w:p>
        </w:tc>
      </w:tr>
      <w:tr w14:paraId="546F3B18">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00D37CE1">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63BAB899">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4E2936DE">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7733D3BF">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72E2DAB9">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2FAC5BFD">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21D89A3D">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5AA83EFB">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47269DC8">
            <w:pPr>
              <w:widowControl/>
              <w:jc w:val="center"/>
              <w:rPr>
                <w:rFonts w:ascii="Times New Roman" w:hAnsi="Times New Roman"/>
                <w:color w:val="000000" w:themeColor="text1"/>
                <w:kern w:val="0"/>
                <w14:textFill>
                  <w14:solidFill>
                    <w14:schemeClr w14:val="tx1"/>
                  </w14:solidFill>
                </w14:textFill>
              </w:rPr>
            </w:pPr>
          </w:p>
        </w:tc>
      </w:tr>
      <w:tr w14:paraId="638198C1">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08DA2DE1">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5241E835">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113C4BE4">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22EB39F7">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1A6643E2">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6FEB34CE">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7F94D025">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18B15A75">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6ADC60C0">
            <w:pPr>
              <w:widowControl/>
              <w:jc w:val="center"/>
              <w:rPr>
                <w:rFonts w:ascii="Times New Roman" w:hAnsi="Times New Roman"/>
                <w:color w:val="000000" w:themeColor="text1"/>
                <w:kern w:val="0"/>
                <w14:textFill>
                  <w14:solidFill>
                    <w14:schemeClr w14:val="tx1"/>
                  </w14:solidFill>
                </w14:textFill>
              </w:rPr>
            </w:pPr>
          </w:p>
        </w:tc>
      </w:tr>
      <w:tr w14:paraId="7E744CD6">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4F44B8CC">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0D1D43ED">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0C62E7FD">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1E41D032">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34907608">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5EECB8AB">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1530CE95">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35F8D25E">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604A3003">
            <w:pPr>
              <w:widowControl/>
              <w:jc w:val="center"/>
              <w:rPr>
                <w:rFonts w:ascii="Times New Roman" w:hAnsi="Times New Roman"/>
                <w:color w:val="000000" w:themeColor="text1"/>
                <w:kern w:val="0"/>
                <w14:textFill>
                  <w14:solidFill>
                    <w14:schemeClr w14:val="tx1"/>
                  </w14:solidFill>
                </w14:textFill>
              </w:rPr>
            </w:pPr>
          </w:p>
        </w:tc>
      </w:tr>
      <w:tr w14:paraId="6577DA64">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23E43A39">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5F4B0CBE">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1FDFD906">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4ACE1D07">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1CA478D6">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3F53050D">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258AFBC6">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4C5EC605">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1A757BE1">
            <w:pPr>
              <w:widowControl/>
              <w:jc w:val="center"/>
              <w:rPr>
                <w:rFonts w:ascii="Times New Roman" w:hAnsi="Times New Roman"/>
                <w:color w:val="000000" w:themeColor="text1"/>
                <w:kern w:val="0"/>
                <w14:textFill>
                  <w14:solidFill>
                    <w14:schemeClr w14:val="tx1"/>
                  </w14:solidFill>
                </w14:textFill>
              </w:rPr>
            </w:pPr>
          </w:p>
        </w:tc>
      </w:tr>
      <w:tr w14:paraId="265CFF3A">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7E5EFEA3">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311365C3">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5AD4DA1E">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48A84928">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21EEB0E0">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6B8AD563">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14D887EE">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638E1D85">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6F50E232">
            <w:pPr>
              <w:widowControl/>
              <w:jc w:val="center"/>
              <w:rPr>
                <w:rFonts w:ascii="Times New Roman" w:hAnsi="Times New Roman"/>
                <w:color w:val="000000" w:themeColor="text1"/>
                <w:kern w:val="0"/>
                <w14:textFill>
                  <w14:solidFill>
                    <w14:schemeClr w14:val="tx1"/>
                  </w14:solidFill>
                </w14:textFill>
              </w:rPr>
            </w:pPr>
          </w:p>
        </w:tc>
      </w:tr>
      <w:tr w14:paraId="3B9DABB8">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537E2AD1">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6BE93FDC">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178B900C">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5374A533">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6F66FF57">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4B6CA14B">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63239CDA">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065B6DC3">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4689B98D">
            <w:pPr>
              <w:widowControl/>
              <w:jc w:val="center"/>
              <w:rPr>
                <w:rFonts w:ascii="Times New Roman" w:hAnsi="Times New Roman"/>
                <w:color w:val="000000" w:themeColor="text1"/>
                <w:kern w:val="0"/>
                <w14:textFill>
                  <w14:solidFill>
                    <w14:schemeClr w14:val="tx1"/>
                  </w14:solidFill>
                </w14:textFill>
              </w:rPr>
            </w:pPr>
          </w:p>
        </w:tc>
      </w:tr>
      <w:tr w14:paraId="791E017A">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5B798B27">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688D9E4C">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3745D81B">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7C41D26C">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28CAED46">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4A198058">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00A9AC0D">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02C47182">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4758E008">
            <w:pPr>
              <w:widowControl/>
              <w:jc w:val="center"/>
              <w:rPr>
                <w:rFonts w:ascii="Times New Roman" w:hAnsi="Times New Roman"/>
                <w:color w:val="000000" w:themeColor="text1"/>
                <w:kern w:val="0"/>
                <w14:textFill>
                  <w14:solidFill>
                    <w14:schemeClr w14:val="tx1"/>
                  </w14:solidFill>
                </w14:textFill>
              </w:rPr>
            </w:pPr>
          </w:p>
        </w:tc>
      </w:tr>
      <w:tr w14:paraId="110C56E3">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7C5628B2">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4C01F87C">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6D458EC2">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1A3D895D">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2238A3C7">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439CE047">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1FF6280C">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5BF4D6C8">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61878551">
            <w:pPr>
              <w:widowControl/>
              <w:jc w:val="center"/>
              <w:rPr>
                <w:rFonts w:ascii="Times New Roman" w:hAnsi="Times New Roman"/>
                <w:color w:val="000000" w:themeColor="text1"/>
                <w:kern w:val="0"/>
                <w14:textFill>
                  <w14:solidFill>
                    <w14:schemeClr w14:val="tx1"/>
                  </w14:solidFill>
                </w14:textFill>
              </w:rPr>
            </w:pPr>
          </w:p>
        </w:tc>
      </w:tr>
      <w:tr w14:paraId="5A574815">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13BB9EEE">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154A63D1">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621040CD">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2FA7A598">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1C56DBD6">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12F65495">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685AE205">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4C420AEB">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48F2367A">
            <w:pPr>
              <w:widowControl/>
              <w:jc w:val="center"/>
              <w:rPr>
                <w:rFonts w:ascii="Times New Roman" w:hAnsi="Times New Roman"/>
                <w:color w:val="000000" w:themeColor="text1"/>
                <w:kern w:val="0"/>
                <w14:textFill>
                  <w14:solidFill>
                    <w14:schemeClr w14:val="tx1"/>
                  </w14:solidFill>
                </w14:textFill>
              </w:rPr>
            </w:pPr>
          </w:p>
        </w:tc>
      </w:tr>
      <w:tr w14:paraId="18AC9BB2">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2359C9AD">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015C336F">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434F87D5">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0DFAEBB3">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2334881B">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6451EAF1">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688EA4E5">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38BDEA69">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1B7DD527">
            <w:pPr>
              <w:widowControl/>
              <w:jc w:val="center"/>
              <w:rPr>
                <w:rFonts w:ascii="Times New Roman" w:hAnsi="Times New Roman"/>
                <w:color w:val="000000" w:themeColor="text1"/>
                <w:kern w:val="0"/>
                <w14:textFill>
                  <w14:solidFill>
                    <w14:schemeClr w14:val="tx1"/>
                  </w14:solidFill>
                </w14:textFill>
              </w:rPr>
            </w:pPr>
          </w:p>
        </w:tc>
      </w:tr>
      <w:tr w14:paraId="0501C7BB">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053AC389">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6B392993">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0DDA511F">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038E3BDA">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0D967107">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151580DA">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5E118569">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1784C952">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7CF8F4D0">
            <w:pPr>
              <w:widowControl/>
              <w:jc w:val="center"/>
              <w:rPr>
                <w:rFonts w:ascii="Times New Roman" w:hAnsi="Times New Roman"/>
                <w:color w:val="000000" w:themeColor="text1"/>
                <w:kern w:val="0"/>
                <w14:textFill>
                  <w14:solidFill>
                    <w14:schemeClr w14:val="tx1"/>
                  </w14:solidFill>
                </w14:textFill>
              </w:rPr>
            </w:pPr>
          </w:p>
        </w:tc>
      </w:tr>
      <w:tr w14:paraId="00A09E31">
        <w:tblPrEx>
          <w:tblCellMar>
            <w:top w:w="0" w:type="dxa"/>
            <w:left w:w="108" w:type="dxa"/>
            <w:bottom w:w="0" w:type="dxa"/>
            <w:right w:w="108" w:type="dxa"/>
          </w:tblCellMar>
        </w:tblPrEx>
        <w:trPr>
          <w:trHeight w:val="565" w:hRule="atLeast"/>
          <w:jc w:val="center"/>
        </w:trPr>
        <w:tc>
          <w:tcPr>
            <w:tcW w:w="1271" w:type="dxa"/>
            <w:tcBorders>
              <w:top w:val="single" w:color="000000" w:sz="4" w:space="0"/>
              <w:left w:val="single" w:color="000000" w:sz="4" w:space="0"/>
              <w:bottom w:val="single" w:color="000000" w:sz="4" w:space="0"/>
              <w:right w:val="single" w:color="000000" w:sz="4" w:space="0"/>
            </w:tcBorders>
            <w:noWrap/>
            <w:vAlign w:val="center"/>
          </w:tcPr>
          <w:p w14:paraId="6D456BD1">
            <w:pPr>
              <w:widowControl/>
              <w:jc w:val="center"/>
              <w:rPr>
                <w:rFonts w:ascii="Times New Roman" w:hAnsi="Times New Roman"/>
                <w:color w:val="000000" w:themeColor="text1"/>
                <w:kern w:val="0"/>
                <w14:textFill>
                  <w14:solidFill>
                    <w14:schemeClr w14:val="tx1"/>
                  </w14:solidFill>
                </w14:textFill>
              </w:rPr>
            </w:pPr>
          </w:p>
        </w:tc>
        <w:tc>
          <w:tcPr>
            <w:tcW w:w="992" w:type="dxa"/>
            <w:tcBorders>
              <w:top w:val="single" w:color="000000" w:sz="4" w:space="0"/>
              <w:left w:val="nil"/>
              <w:bottom w:val="single" w:color="000000" w:sz="4" w:space="0"/>
              <w:right w:val="single" w:color="000000" w:sz="4" w:space="0"/>
            </w:tcBorders>
            <w:noWrap/>
            <w:vAlign w:val="center"/>
          </w:tcPr>
          <w:p w14:paraId="39CC89F9">
            <w:pPr>
              <w:widowControl/>
              <w:jc w:val="center"/>
              <w:rPr>
                <w:rFonts w:ascii="Times New Roman" w:hAnsi="Times New Roman"/>
                <w:color w:val="000000" w:themeColor="text1"/>
                <w:kern w:val="0"/>
                <w14:textFill>
                  <w14:solidFill>
                    <w14:schemeClr w14:val="tx1"/>
                  </w14:solidFill>
                </w14:textFill>
              </w:rPr>
            </w:pPr>
          </w:p>
        </w:tc>
        <w:tc>
          <w:tcPr>
            <w:tcW w:w="1134" w:type="dxa"/>
            <w:tcBorders>
              <w:top w:val="single" w:color="000000" w:sz="4" w:space="0"/>
              <w:left w:val="nil"/>
              <w:bottom w:val="single" w:color="000000" w:sz="4" w:space="0"/>
              <w:right w:val="single" w:color="000000" w:sz="4" w:space="0"/>
            </w:tcBorders>
            <w:noWrap/>
            <w:vAlign w:val="center"/>
          </w:tcPr>
          <w:p w14:paraId="3D69C14B">
            <w:pPr>
              <w:widowControl/>
              <w:jc w:val="center"/>
              <w:rPr>
                <w:rFonts w:ascii="Times New Roman" w:hAnsi="Times New Roman"/>
                <w:color w:val="000000" w:themeColor="text1"/>
                <w:kern w:val="0"/>
                <w14:textFill>
                  <w14:solidFill>
                    <w14:schemeClr w14:val="tx1"/>
                  </w14:solidFill>
                </w14:textFill>
              </w:rPr>
            </w:pPr>
          </w:p>
        </w:tc>
        <w:tc>
          <w:tcPr>
            <w:tcW w:w="1160" w:type="dxa"/>
            <w:tcBorders>
              <w:top w:val="single" w:color="000000" w:sz="4" w:space="0"/>
              <w:left w:val="nil"/>
              <w:bottom w:val="single" w:color="000000" w:sz="4" w:space="0"/>
              <w:right w:val="single" w:color="000000" w:sz="4" w:space="0"/>
            </w:tcBorders>
            <w:noWrap/>
            <w:vAlign w:val="center"/>
          </w:tcPr>
          <w:p w14:paraId="0214F6AB">
            <w:pPr>
              <w:widowControl/>
              <w:jc w:val="center"/>
              <w:rPr>
                <w:rFonts w:ascii="Times New Roman" w:hAnsi="Times New Roman"/>
                <w:color w:val="000000" w:themeColor="text1"/>
                <w:kern w:val="0"/>
                <w14:textFill>
                  <w14:solidFill>
                    <w14:schemeClr w14:val="tx1"/>
                  </w14:solidFill>
                </w14:textFill>
              </w:rPr>
            </w:pPr>
          </w:p>
        </w:tc>
        <w:tc>
          <w:tcPr>
            <w:tcW w:w="1108" w:type="dxa"/>
            <w:tcBorders>
              <w:top w:val="single" w:color="000000" w:sz="4" w:space="0"/>
              <w:left w:val="nil"/>
              <w:bottom w:val="single" w:color="000000" w:sz="4" w:space="0"/>
              <w:right w:val="single" w:color="000000" w:sz="4" w:space="0"/>
            </w:tcBorders>
            <w:noWrap/>
            <w:vAlign w:val="center"/>
          </w:tcPr>
          <w:p w14:paraId="5AC6C89F">
            <w:pPr>
              <w:widowControl/>
              <w:jc w:val="center"/>
              <w:rPr>
                <w:rFonts w:ascii="Times New Roman" w:hAnsi="Times New Roman"/>
                <w:color w:val="000000" w:themeColor="text1"/>
                <w:kern w:val="0"/>
                <w14:textFill>
                  <w14:solidFill>
                    <w14:schemeClr w14:val="tx1"/>
                  </w14:solidFill>
                </w14:textFill>
              </w:rPr>
            </w:pPr>
          </w:p>
        </w:tc>
        <w:tc>
          <w:tcPr>
            <w:tcW w:w="941" w:type="dxa"/>
            <w:tcBorders>
              <w:top w:val="single" w:color="000000" w:sz="4" w:space="0"/>
              <w:left w:val="nil"/>
              <w:bottom w:val="single" w:color="000000" w:sz="4" w:space="0"/>
              <w:right w:val="single" w:color="000000" w:sz="4" w:space="0"/>
            </w:tcBorders>
            <w:noWrap/>
            <w:vAlign w:val="center"/>
          </w:tcPr>
          <w:p w14:paraId="34C90C90">
            <w:pPr>
              <w:widowControl/>
              <w:jc w:val="center"/>
              <w:rPr>
                <w:rFonts w:ascii="Times New Roman" w:hAnsi="Times New Roman"/>
                <w:color w:val="000000" w:themeColor="text1"/>
                <w:kern w:val="0"/>
                <w14:textFill>
                  <w14:solidFill>
                    <w14:schemeClr w14:val="tx1"/>
                  </w14:solidFill>
                </w14:textFill>
              </w:rPr>
            </w:pPr>
          </w:p>
        </w:tc>
        <w:tc>
          <w:tcPr>
            <w:tcW w:w="710" w:type="dxa"/>
            <w:tcBorders>
              <w:top w:val="single" w:color="000000" w:sz="4" w:space="0"/>
              <w:left w:val="nil"/>
              <w:bottom w:val="single" w:color="000000" w:sz="4" w:space="0"/>
              <w:right w:val="single" w:color="000000" w:sz="4" w:space="0"/>
            </w:tcBorders>
            <w:noWrap/>
            <w:vAlign w:val="center"/>
          </w:tcPr>
          <w:p w14:paraId="6BC7BBA7">
            <w:pPr>
              <w:widowControl/>
              <w:jc w:val="center"/>
              <w:rPr>
                <w:rFonts w:ascii="Times New Roman" w:hAnsi="Times New Roman"/>
                <w:color w:val="000000" w:themeColor="text1"/>
                <w:kern w:val="0"/>
                <w14:textFill>
                  <w14:solidFill>
                    <w14:schemeClr w14:val="tx1"/>
                  </w14:solidFill>
                </w14:textFill>
              </w:rPr>
            </w:pPr>
          </w:p>
        </w:tc>
        <w:tc>
          <w:tcPr>
            <w:tcW w:w="761" w:type="dxa"/>
            <w:tcBorders>
              <w:top w:val="single" w:color="000000" w:sz="4" w:space="0"/>
              <w:left w:val="nil"/>
              <w:bottom w:val="single" w:color="000000" w:sz="4" w:space="0"/>
              <w:right w:val="single" w:color="000000" w:sz="4" w:space="0"/>
            </w:tcBorders>
            <w:noWrap/>
            <w:vAlign w:val="center"/>
          </w:tcPr>
          <w:p w14:paraId="5AAF16FD">
            <w:pPr>
              <w:widowControl/>
              <w:jc w:val="center"/>
              <w:rPr>
                <w:rFonts w:ascii="Times New Roman" w:hAnsi="Times New Roman"/>
                <w:color w:val="000000" w:themeColor="text1"/>
                <w:kern w:val="0"/>
                <w14:textFill>
                  <w14:solidFill>
                    <w14:schemeClr w14:val="tx1"/>
                  </w14:solidFill>
                </w14:textFill>
              </w:rPr>
            </w:pPr>
          </w:p>
        </w:tc>
        <w:tc>
          <w:tcPr>
            <w:tcW w:w="1232" w:type="dxa"/>
            <w:tcBorders>
              <w:top w:val="single" w:color="000000" w:sz="4" w:space="0"/>
              <w:left w:val="nil"/>
              <w:bottom w:val="single" w:color="000000" w:sz="4" w:space="0"/>
              <w:right w:val="single" w:color="000000" w:sz="4" w:space="0"/>
            </w:tcBorders>
            <w:noWrap/>
            <w:vAlign w:val="center"/>
          </w:tcPr>
          <w:p w14:paraId="2B37EA26">
            <w:pPr>
              <w:widowControl/>
              <w:jc w:val="center"/>
              <w:rPr>
                <w:rFonts w:ascii="Times New Roman" w:hAnsi="Times New Roman"/>
                <w:color w:val="000000" w:themeColor="text1"/>
                <w:kern w:val="0"/>
                <w14:textFill>
                  <w14:solidFill>
                    <w14:schemeClr w14:val="tx1"/>
                  </w14:solidFill>
                </w14:textFill>
              </w:rPr>
            </w:pPr>
          </w:p>
        </w:tc>
      </w:tr>
    </w:tbl>
    <w:p w14:paraId="2DF3A410">
      <w:pPr>
        <w:pStyle w:val="56"/>
        <w:ind w:firstLine="420"/>
      </w:pPr>
    </w:p>
    <w:p w14:paraId="08FDFB0F">
      <w:pPr>
        <w:pStyle w:val="56"/>
        <w:ind w:firstLine="420"/>
      </w:pPr>
    </w:p>
    <w:p w14:paraId="465D8D5E">
      <w:pPr>
        <w:pStyle w:val="56"/>
        <w:ind w:firstLine="420"/>
      </w:pPr>
    </w:p>
    <w:p w14:paraId="565CE508">
      <w:pPr>
        <w:pStyle w:val="56"/>
        <w:ind w:firstLine="420"/>
        <w:sectPr>
          <w:pgSz w:w="11906" w:h="16838"/>
          <w:pgMar w:top="1928" w:right="1134" w:bottom="1134" w:left="1134" w:header="1418" w:footer="1134" w:gutter="284"/>
          <w:cols w:space="425" w:num="1"/>
          <w:formProt w:val="0"/>
          <w:docGrid w:linePitch="312" w:charSpace="0"/>
        </w:sectPr>
      </w:pPr>
    </w:p>
    <w:p w14:paraId="67BBE885">
      <w:pPr>
        <w:pStyle w:val="198"/>
        <w:rPr>
          <w:vanish w:val="0"/>
        </w:rPr>
      </w:pPr>
    </w:p>
    <w:p w14:paraId="7A82C333">
      <w:pPr>
        <w:pStyle w:val="199"/>
        <w:rPr>
          <w:vanish w:val="0"/>
        </w:rPr>
      </w:pPr>
    </w:p>
    <w:p w14:paraId="0BD068B3">
      <w:pPr>
        <w:pStyle w:val="76"/>
        <w:spacing w:after="120"/>
      </w:pPr>
      <w:r>
        <w:br w:type="textWrapping"/>
      </w:r>
      <w:bookmarkStart w:id="200" w:name="_Toc224251278"/>
      <w:bookmarkStart w:id="201" w:name="_Toc224251228"/>
      <w:r>
        <w:rPr>
          <w:rFonts w:hint="eastAsia"/>
        </w:rPr>
        <w:t>（资料性）</w:t>
      </w:r>
      <w:r>
        <w:br w:type="textWrapping"/>
      </w:r>
      <w:r>
        <w:rPr>
          <w:rFonts w:hint="eastAsia"/>
        </w:rPr>
        <w:t>养老机构清洁卫生服务记录表</w:t>
      </w:r>
      <w:bookmarkEnd w:id="200"/>
      <w:bookmarkEnd w:id="201"/>
    </w:p>
    <w:p w14:paraId="792E76F4">
      <w:pPr>
        <w:pStyle w:val="56"/>
        <w:ind w:firstLine="420"/>
      </w:pPr>
      <w:r>
        <w:rPr>
          <w:rFonts w:hint="eastAsia"/>
        </w:rPr>
        <w:t>实施清洁卫生服务后记录的内容示例见表B.1。</w:t>
      </w:r>
    </w:p>
    <w:p w14:paraId="269B5FC9">
      <w:pPr>
        <w:pStyle w:val="77"/>
        <w:spacing w:before="120" w:after="120"/>
      </w:pPr>
      <w:r>
        <w:rPr>
          <w:rFonts w:hint="eastAsia"/>
        </w:rPr>
        <w:t>养老机构清洁卫生服务记录表</w:t>
      </w:r>
    </w:p>
    <w:p w14:paraId="54FC0640">
      <w:pPr>
        <w:pStyle w:val="56"/>
        <w:ind w:firstLine="420"/>
      </w:pPr>
      <w:r>
        <w:rPr>
          <w:rFonts w:hint="eastAsia" w:hAnsi="宋体"/>
          <w:color w:val="000000" w:themeColor="text1"/>
          <w14:textFill>
            <w14:solidFill>
              <w14:schemeClr w14:val="tx1"/>
            </w14:solidFill>
          </w14:textFill>
        </w:rPr>
        <w:t>服务区域/科室：</w:t>
      </w:r>
    </w:p>
    <w:tbl>
      <w:tblPr>
        <w:tblStyle w:val="26"/>
        <w:tblW w:w="5386" w:type="pct"/>
        <w:jc w:val="center"/>
        <w:tblLayout w:type="fixed"/>
        <w:tblCellMar>
          <w:top w:w="0" w:type="dxa"/>
          <w:left w:w="108" w:type="dxa"/>
          <w:bottom w:w="0" w:type="dxa"/>
          <w:right w:w="108" w:type="dxa"/>
        </w:tblCellMar>
      </w:tblPr>
      <w:tblGrid>
        <w:gridCol w:w="691"/>
        <w:gridCol w:w="687"/>
        <w:gridCol w:w="687"/>
        <w:gridCol w:w="687"/>
        <w:gridCol w:w="687"/>
        <w:gridCol w:w="687"/>
        <w:gridCol w:w="687"/>
        <w:gridCol w:w="687"/>
        <w:gridCol w:w="686"/>
        <w:gridCol w:w="686"/>
        <w:gridCol w:w="686"/>
        <w:gridCol w:w="686"/>
        <w:gridCol w:w="686"/>
        <w:gridCol w:w="1376"/>
      </w:tblGrid>
      <w:tr w14:paraId="796C7282">
        <w:tblPrEx>
          <w:tblCellMar>
            <w:top w:w="0" w:type="dxa"/>
            <w:left w:w="108" w:type="dxa"/>
            <w:bottom w:w="0" w:type="dxa"/>
            <w:right w:w="108" w:type="dxa"/>
          </w:tblCellMar>
        </w:tblPrEx>
        <w:trPr>
          <w:trHeight w:val="409" w:hRule="atLeast"/>
          <w:jc w:val="center"/>
        </w:trPr>
        <w:tc>
          <w:tcPr>
            <w:tcW w:w="327" w:type="pct"/>
            <w:vMerge w:val="restart"/>
            <w:tcBorders>
              <w:top w:val="single" w:color="auto" w:sz="4" w:space="0"/>
              <w:left w:val="single" w:color="auto" w:sz="4" w:space="0"/>
              <w:bottom w:val="single" w:color="auto" w:sz="4" w:space="0"/>
              <w:right w:val="single" w:color="auto" w:sz="4" w:space="0"/>
            </w:tcBorders>
            <w:vAlign w:val="center"/>
          </w:tcPr>
          <w:p w14:paraId="5300309A">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kern w:val="0"/>
                <w14:textFill>
                  <w14:solidFill>
                    <w14:schemeClr w14:val="tx1"/>
                  </w14:solidFill>
                </w14:textFill>
              </w:rPr>
              <w:t>时间</w:t>
            </w:r>
          </w:p>
        </w:tc>
        <w:tc>
          <w:tcPr>
            <w:tcW w:w="325" w:type="pct"/>
            <w:gridSpan w:val="12"/>
            <w:tcBorders>
              <w:top w:val="single" w:color="auto" w:sz="4" w:space="0"/>
              <w:left w:val="single" w:color="auto" w:sz="4" w:space="0"/>
              <w:bottom w:val="single" w:color="auto" w:sz="4" w:space="0"/>
              <w:right w:val="single" w:color="auto" w:sz="4" w:space="0"/>
            </w:tcBorders>
            <w:vAlign w:val="center"/>
          </w:tcPr>
          <w:p w14:paraId="36EC3569">
            <w:pPr>
              <w:widowControl/>
              <w:jc w:val="center"/>
              <w:textAlignment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清洁执行情况</w:t>
            </w:r>
          </w:p>
        </w:tc>
        <w:tc>
          <w:tcPr>
            <w:tcW w:w="651" w:type="pct"/>
            <w:vMerge w:val="restart"/>
            <w:tcBorders>
              <w:top w:val="single" w:color="auto" w:sz="4" w:space="0"/>
              <w:left w:val="single" w:color="auto" w:sz="4" w:space="0"/>
              <w:right w:val="single" w:color="auto" w:sz="4" w:space="0"/>
            </w:tcBorders>
            <w:vAlign w:val="center"/>
          </w:tcPr>
          <w:p w14:paraId="16CDDB1D">
            <w:pPr>
              <w:widowControl/>
              <w:jc w:val="center"/>
              <w:textAlignment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执行者签名</w:t>
            </w:r>
          </w:p>
        </w:tc>
      </w:tr>
      <w:tr w14:paraId="661A711E">
        <w:tblPrEx>
          <w:tblCellMar>
            <w:top w:w="0" w:type="dxa"/>
            <w:left w:w="108" w:type="dxa"/>
            <w:bottom w:w="0" w:type="dxa"/>
            <w:right w:w="108" w:type="dxa"/>
          </w:tblCellMar>
        </w:tblPrEx>
        <w:trPr>
          <w:trHeight w:val="1361" w:hRule="atLeast"/>
          <w:jc w:val="center"/>
        </w:trPr>
        <w:tc>
          <w:tcPr>
            <w:tcW w:w="327" w:type="pct"/>
            <w:vMerge w:val="continue"/>
            <w:tcBorders>
              <w:top w:val="single" w:color="auto" w:sz="4" w:space="0"/>
              <w:left w:val="single" w:color="auto" w:sz="4" w:space="0"/>
              <w:bottom w:val="single" w:color="000000" w:sz="4" w:space="0"/>
              <w:right w:val="single" w:color="000000" w:sz="4" w:space="0"/>
            </w:tcBorders>
            <w:vAlign w:val="center"/>
          </w:tcPr>
          <w:p w14:paraId="3DFF252C">
            <w:pPr>
              <w:widowControl/>
              <w:adjustRightInd/>
              <w:spacing w:line="240" w:lineRule="auto"/>
              <w:jc w:val="left"/>
              <w:rPr>
                <w:rFonts w:ascii="宋体" w:hAnsi="宋体"/>
                <w:color w:val="000000" w:themeColor="text1"/>
                <w14:textFill>
                  <w14:solidFill>
                    <w14:schemeClr w14:val="tx1"/>
                  </w14:solidFill>
                </w14:textFill>
              </w:rPr>
            </w:pPr>
          </w:p>
        </w:tc>
        <w:tc>
          <w:tcPr>
            <w:tcW w:w="325" w:type="pct"/>
            <w:tcBorders>
              <w:top w:val="single" w:color="auto" w:sz="4" w:space="0"/>
              <w:left w:val="nil"/>
              <w:bottom w:val="single" w:color="000000" w:sz="4" w:space="0"/>
              <w:right w:val="single" w:color="000000" w:sz="4" w:space="0"/>
            </w:tcBorders>
            <w:vAlign w:val="center"/>
          </w:tcPr>
          <w:p w14:paraId="67740DB7">
            <w:pPr>
              <w:widowControl/>
              <w:adjustRightInd/>
              <w:spacing w:line="240" w:lineRule="auto"/>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室内通风</w:t>
            </w:r>
          </w:p>
        </w:tc>
        <w:tc>
          <w:tcPr>
            <w:tcW w:w="325" w:type="pct"/>
            <w:tcBorders>
              <w:top w:val="single" w:color="auto" w:sz="4" w:space="0"/>
              <w:left w:val="nil"/>
              <w:bottom w:val="single" w:color="000000" w:sz="4" w:space="0"/>
              <w:right w:val="single" w:color="000000" w:sz="4" w:space="0"/>
            </w:tcBorders>
            <w:vAlign w:val="center"/>
          </w:tcPr>
          <w:p w14:paraId="1527AD48">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kern w:val="0"/>
                <w14:textFill>
                  <w14:solidFill>
                    <w14:schemeClr w14:val="tx1"/>
                  </w14:solidFill>
                </w14:textFill>
              </w:rPr>
              <w:t>地面</w:t>
            </w:r>
          </w:p>
        </w:tc>
        <w:tc>
          <w:tcPr>
            <w:tcW w:w="325" w:type="pct"/>
            <w:tcBorders>
              <w:top w:val="single" w:color="auto" w:sz="4" w:space="0"/>
              <w:left w:val="nil"/>
              <w:bottom w:val="single" w:color="000000" w:sz="4" w:space="0"/>
              <w:right w:val="single" w:color="000000" w:sz="4" w:space="0"/>
            </w:tcBorders>
            <w:vAlign w:val="center"/>
          </w:tcPr>
          <w:p w14:paraId="538049CD">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床单元</w:t>
            </w:r>
          </w:p>
        </w:tc>
        <w:tc>
          <w:tcPr>
            <w:tcW w:w="325" w:type="pct"/>
            <w:tcBorders>
              <w:top w:val="single" w:color="auto" w:sz="4" w:space="0"/>
              <w:left w:val="nil"/>
              <w:bottom w:val="single" w:color="000000" w:sz="4" w:space="0"/>
              <w:right w:val="single" w:color="000000" w:sz="4" w:space="0"/>
            </w:tcBorders>
            <w:vAlign w:val="center"/>
          </w:tcPr>
          <w:p w14:paraId="2BB879F0">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kern w:val="0"/>
                <w14:textFill>
                  <w14:solidFill>
                    <w14:schemeClr w14:val="tx1"/>
                  </w14:solidFill>
                </w14:textFill>
              </w:rPr>
              <w:t>生活用品</w:t>
            </w:r>
          </w:p>
        </w:tc>
        <w:tc>
          <w:tcPr>
            <w:tcW w:w="325" w:type="pct"/>
            <w:tcBorders>
              <w:top w:val="single" w:color="auto" w:sz="4" w:space="0"/>
              <w:left w:val="nil"/>
              <w:bottom w:val="single" w:color="000000" w:sz="4" w:space="0"/>
              <w:right w:val="single" w:color="000000" w:sz="4" w:space="0"/>
            </w:tcBorders>
            <w:vAlign w:val="center"/>
          </w:tcPr>
          <w:p w14:paraId="7E727A48">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电器设备</w:t>
            </w:r>
          </w:p>
        </w:tc>
        <w:tc>
          <w:tcPr>
            <w:tcW w:w="325" w:type="pct"/>
            <w:tcBorders>
              <w:top w:val="single" w:color="auto" w:sz="4" w:space="0"/>
              <w:left w:val="nil"/>
              <w:bottom w:val="single" w:color="000000" w:sz="4" w:space="0"/>
              <w:right w:val="single" w:color="000000" w:sz="4" w:space="0"/>
            </w:tcBorders>
            <w:vAlign w:val="center"/>
          </w:tcPr>
          <w:p w14:paraId="30B4DBD2">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kern w:val="0"/>
                <w14:textFill>
                  <w14:solidFill>
                    <w14:schemeClr w14:val="tx1"/>
                  </w14:solidFill>
                </w14:textFill>
              </w:rPr>
              <w:t>家具</w:t>
            </w:r>
          </w:p>
        </w:tc>
        <w:tc>
          <w:tcPr>
            <w:tcW w:w="325" w:type="pct"/>
            <w:tcBorders>
              <w:top w:val="single" w:color="auto" w:sz="4" w:space="0"/>
              <w:left w:val="nil"/>
              <w:bottom w:val="single" w:color="000000" w:sz="4" w:space="0"/>
              <w:right w:val="single" w:color="000000" w:sz="4" w:space="0"/>
            </w:tcBorders>
            <w:vAlign w:val="center"/>
          </w:tcPr>
          <w:p w14:paraId="72EE96BD">
            <w:pPr>
              <w:widowControl/>
              <w:jc w:val="center"/>
              <w:textAlignment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活动器材</w:t>
            </w:r>
          </w:p>
        </w:tc>
        <w:tc>
          <w:tcPr>
            <w:tcW w:w="325" w:type="pct"/>
            <w:tcBorders>
              <w:top w:val="single" w:color="auto" w:sz="4" w:space="0"/>
              <w:left w:val="nil"/>
              <w:bottom w:val="single" w:color="000000" w:sz="4" w:space="0"/>
              <w:right w:val="single" w:color="000000" w:sz="4" w:space="0"/>
            </w:tcBorders>
            <w:vAlign w:val="center"/>
          </w:tcPr>
          <w:p w14:paraId="0B3AC19C">
            <w:pPr>
              <w:widowControl/>
              <w:jc w:val="center"/>
              <w:textAlignment w:val="center"/>
              <w:rPr>
                <w:rFonts w:ascii="宋体" w:hAns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电梯按钮</w:t>
            </w:r>
          </w:p>
        </w:tc>
        <w:tc>
          <w:tcPr>
            <w:tcW w:w="325" w:type="pct"/>
            <w:tcBorders>
              <w:top w:val="single" w:color="auto" w:sz="4" w:space="0"/>
              <w:left w:val="nil"/>
              <w:bottom w:val="single" w:color="000000" w:sz="4" w:space="0"/>
              <w:right w:val="single" w:color="000000" w:sz="4" w:space="0"/>
            </w:tcBorders>
            <w:vAlign w:val="center"/>
          </w:tcPr>
          <w:p w14:paraId="282DD1E7">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kern w:val="0"/>
                <w14:textFill>
                  <w14:solidFill>
                    <w14:schemeClr w14:val="tx1"/>
                  </w14:solidFill>
                </w14:textFill>
              </w:rPr>
              <w:t>扶手</w:t>
            </w:r>
          </w:p>
        </w:tc>
        <w:tc>
          <w:tcPr>
            <w:tcW w:w="325" w:type="pct"/>
            <w:tcBorders>
              <w:top w:val="single" w:color="auto" w:sz="4" w:space="0"/>
              <w:left w:val="nil"/>
              <w:bottom w:val="single" w:color="000000" w:sz="4" w:space="0"/>
              <w:right w:val="single" w:color="000000" w:sz="4" w:space="0"/>
            </w:tcBorders>
            <w:noWrap/>
            <w:vAlign w:val="center"/>
          </w:tcPr>
          <w:p w14:paraId="023970AC">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门把手</w:t>
            </w:r>
          </w:p>
        </w:tc>
        <w:tc>
          <w:tcPr>
            <w:tcW w:w="325" w:type="pct"/>
            <w:tcBorders>
              <w:top w:val="single" w:color="auto" w:sz="4" w:space="0"/>
              <w:left w:val="nil"/>
              <w:bottom w:val="single" w:color="000000" w:sz="4" w:space="0"/>
              <w:right w:val="single" w:color="000000" w:sz="4" w:space="0"/>
            </w:tcBorders>
            <w:noWrap/>
            <w:vAlign w:val="center"/>
          </w:tcPr>
          <w:p w14:paraId="57761FC9">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卫浴设备</w:t>
            </w:r>
          </w:p>
        </w:tc>
        <w:tc>
          <w:tcPr>
            <w:tcW w:w="325" w:type="pct"/>
            <w:tcBorders>
              <w:top w:val="single" w:color="auto" w:sz="4" w:space="0"/>
              <w:left w:val="nil"/>
              <w:bottom w:val="single" w:color="000000" w:sz="4" w:space="0"/>
              <w:right w:val="single" w:color="000000" w:sz="4" w:space="0"/>
            </w:tcBorders>
            <w:noWrap/>
            <w:vAlign w:val="center"/>
          </w:tcPr>
          <w:p w14:paraId="4875A33F">
            <w:pPr>
              <w:widowControl/>
              <w:jc w:val="center"/>
              <w:textAlignment w:val="center"/>
              <w:rPr>
                <w:rFonts w:ascii="宋体" w:hAnsi="宋体"/>
                <w:color w:val="000000" w:themeColor="text1"/>
                <w14:textFill>
                  <w14:solidFill>
                    <w14:schemeClr w14:val="tx1"/>
                  </w14:solidFill>
                </w14:textFill>
              </w:rPr>
            </w:pPr>
            <w:r>
              <w:rPr>
                <w:rFonts w:hint="eastAsia" w:ascii="宋体" w:hAnsi="宋体"/>
                <w:color w:val="000000" w:themeColor="text1"/>
                <w:kern w:val="0"/>
                <w14:textFill>
                  <w14:solidFill>
                    <w14:schemeClr w14:val="tx1"/>
                  </w14:solidFill>
                </w14:textFill>
              </w:rPr>
              <w:t>……</w:t>
            </w:r>
          </w:p>
        </w:tc>
        <w:tc>
          <w:tcPr>
            <w:tcW w:w="651" w:type="pct"/>
            <w:vMerge w:val="continue"/>
            <w:tcBorders>
              <w:left w:val="single" w:color="auto" w:sz="4" w:space="0"/>
              <w:bottom w:val="single" w:color="000000" w:sz="4" w:space="0"/>
              <w:right w:val="single" w:color="auto" w:sz="4" w:space="0"/>
            </w:tcBorders>
            <w:vAlign w:val="center"/>
          </w:tcPr>
          <w:p w14:paraId="483B9D3E">
            <w:pPr>
              <w:widowControl/>
              <w:adjustRightInd/>
              <w:spacing w:line="240" w:lineRule="auto"/>
              <w:jc w:val="left"/>
              <w:rPr>
                <w:rFonts w:ascii="宋体" w:hAnsi="宋体"/>
                <w:color w:val="000000" w:themeColor="text1"/>
                <w14:textFill>
                  <w14:solidFill>
                    <w14:schemeClr w14:val="tx1"/>
                  </w14:solidFill>
                </w14:textFill>
              </w:rPr>
            </w:pPr>
          </w:p>
        </w:tc>
      </w:tr>
      <w:tr w14:paraId="4AEC0959">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3F4B726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927ABEC">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254E7C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5C5E05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322EF9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2172F97">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8057A1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B381967">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421EF6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39EB07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5F0102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0E6446D">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84759FF">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3B8CB696">
            <w:pPr>
              <w:jc w:val="center"/>
              <w:rPr>
                <w:rFonts w:ascii="宋体" w:hAnsi="宋体"/>
                <w:color w:val="000000" w:themeColor="text1"/>
                <w14:textFill>
                  <w14:solidFill>
                    <w14:schemeClr w14:val="tx1"/>
                  </w14:solidFill>
                </w14:textFill>
              </w:rPr>
            </w:pPr>
          </w:p>
        </w:tc>
      </w:tr>
      <w:tr w14:paraId="69DCC327">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6431F66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3F7EE2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29D034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A6A290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9E5DD1A">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7FEA99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251910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84053E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321468A">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D3CB85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F69193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C00F58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99D80BF">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551CC3FE">
            <w:pPr>
              <w:jc w:val="center"/>
              <w:rPr>
                <w:rFonts w:ascii="宋体" w:hAnsi="宋体"/>
                <w:color w:val="000000" w:themeColor="text1"/>
                <w14:textFill>
                  <w14:solidFill>
                    <w14:schemeClr w14:val="tx1"/>
                  </w14:solidFill>
                </w14:textFill>
              </w:rPr>
            </w:pPr>
          </w:p>
        </w:tc>
      </w:tr>
      <w:tr w14:paraId="2A229FB5">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7924C5B5">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627871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92E3B25">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FF2C3C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56B75E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70157A5">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51818A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92C56E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F4BC12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542FA6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A63B57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DA9ABA5">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ABB1704">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6E065BD4">
            <w:pPr>
              <w:jc w:val="center"/>
              <w:rPr>
                <w:rFonts w:ascii="宋体" w:hAnsi="宋体"/>
                <w:color w:val="000000" w:themeColor="text1"/>
                <w14:textFill>
                  <w14:solidFill>
                    <w14:schemeClr w14:val="tx1"/>
                  </w14:solidFill>
                </w14:textFill>
              </w:rPr>
            </w:pPr>
          </w:p>
        </w:tc>
      </w:tr>
      <w:tr w14:paraId="206E9756">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2854677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4A111A6">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1899A6A">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0E0278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7B8DE2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96526A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885161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769C18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514992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F4AC104">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5877156">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E4E4287">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F770743">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36F6F77D">
            <w:pPr>
              <w:jc w:val="center"/>
              <w:rPr>
                <w:rFonts w:ascii="宋体" w:hAnsi="宋体"/>
                <w:color w:val="000000" w:themeColor="text1"/>
                <w14:textFill>
                  <w14:solidFill>
                    <w14:schemeClr w14:val="tx1"/>
                  </w14:solidFill>
                </w14:textFill>
              </w:rPr>
            </w:pPr>
          </w:p>
        </w:tc>
      </w:tr>
      <w:tr w14:paraId="2DF77550">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1657462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F51B9C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11DC5B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EEEE5A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9FDED13">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7D5E35D">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3FEC3FD">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8A5251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6B7357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C01908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AAA8837">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302B17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2EFBF24">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3C64F2D4">
            <w:pPr>
              <w:jc w:val="center"/>
              <w:rPr>
                <w:rFonts w:ascii="宋体" w:hAnsi="宋体"/>
                <w:color w:val="000000" w:themeColor="text1"/>
                <w14:textFill>
                  <w14:solidFill>
                    <w14:schemeClr w14:val="tx1"/>
                  </w14:solidFill>
                </w14:textFill>
              </w:rPr>
            </w:pPr>
          </w:p>
        </w:tc>
      </w:tr>
      <w:tr w14:paraId="51D552C9">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376978DD">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417E24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00A9CE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3AC8A16">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4014D8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EFF10C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18CA3E0">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44F927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14BF51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4132B6D">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6207BF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F20328E">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77CBA71">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71D57CDE">
            <w:pPr>
              <w:jc w:val="center"/>
              <w:rPr>
                <w:rFonts w:ascii="宋体" w:hAnsi="宋体"/>
                <w:color w:val="000000" w:themeColor="text1"/>
                <w14:textFill>
                  <w14:solidFill>
                    <w14:schemeClr w14:val="tx1"/>
                  </w14:solidFill>
                </w14:textFill>
              </w:rPr>
            </w:pPr>
          </w:p>
        </w:tc>
      </w:tr>
      <w:tr w14:paraId="490D5909">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2D41321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EDC630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6B6D69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4FBBE2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2E1033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11A453A">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7DA5E33">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1E9D4CE3">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5CE3123">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4019A1A">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C643C9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58EDE3D">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A18ACFA">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002351F6">
            <w:pPr>
              <w:jc w:val="center"/>
              <w:rPr>
                <w:rFonts w:ascii="宋体" w:hAnsi="宋体"/>
                <w:color w:val="000000" w:themeColor="text1"/>
                <w14:textFill>
                  <w14:solidFill>
                    <w14:schemeClr w14:val="tx1"/>
                  </w14:solidFill>
                </w14:textFill>
              </w:rPr>
            </w:pPr>
          </w:p>
        </w:tc>
      </w:tr>
      <w:tr w14:paraId="5B2CAC5E">
        <w:tblPrEx>
          <w:tblCellMar>
            <w:top w:w="0" w:type="dxa"/>
            <w:left w:w="108" w:type="dxa"/>
            <w:bottom w:w="0" w:type="dxa"/>
            <w:right w:w="108" w:type="dxa"/>
          </w:tblCellMar>
        </w:tblPrEx>
        <w:trPr>
          <w:trHeight w:val="734"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631A178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371586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FFE5E4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E83538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3AE7723">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6E863F55">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8E7959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A59A405">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03C2A69">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F0CD57A">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F26CBA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961F4B8">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78D640D">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2EBE2B64">
            <w:pPr>
              <w:jc w:val="center"/>
              <w:rPr>
                <w:rFonts w:ascii="宋体" w:hAnsi="宋体"/>
                <w:color w:val="000000" w:themeColor="text1"/>
                <w14:textFill>
                  <w14:solidFill>
                    <w14:schemeClr w14:val="tx1"/>
                  </w14:solidFill>
                </w14:textFill>
              </w:rPr>
            </w:pPr>
          </w:p>
        </w:tc>
      </w:tr>
      <w:tr w14:paraId="75D17C42">
        <w:tblPrEx>
          <w:tblCellMar>
            <w:top w:w="0" w:type="dxa"/>
            <w:left w:w="108" w:type="dxa"/>
            <w:bottom w:w="0" w:type="dxa"/>
            <w:right w:w="108" w:type="dxa"/>
          </w:tblCellMar>
        </w:tblPrEx>
        <w:trPr>
          <w:trHeight w:val="743" w:hRule="atLeast"/>
          <w:jc w:val="center"/>
        </w:trPr>
        <w:tc>
          <w:tcPr>
            <w:tcW w:w="327" w:type="pct"/>
            <w:tcBorders>
              <w:top w:val="single" w:color="000000" w:sz="4" w:space="0"/>
              <w:left w:val="single" w:color="000000" w:sz="4" w:space="0"/>
              <w:bottom w:val="single" w:color="000000" w:sz="4" w:space="0"/>
              <w:right w:val="single" w:color="000000" w:sz="4" w:space="0"/>
            </w:tcBorders>
            <w:noWrap/>
            <w:vAlign w:val="center"/>
          </w:tcPr>
          <w:p w14:paraId="19556F65">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2169AD7">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06F4938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AF1A16A">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260067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411262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F9FB92F">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57272F3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CA670AC">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4281A0FB">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72B6C972">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3CD16F21">
            <w:pPr>
              <w:jc w:val="center"/>
              <w:rPr>
                <w:rFonts w:ascii="宋体" w:hAnsi="宋体"/>
                <w:color w:val="000000" w:themeColor="text1"/>
                <w14:textFill>
                  <w14:solidFill>
                    <w14:schemeClr w14:val="tx1"/>
                  </w14:solidFill>
                </w14:textFill>
              </w:rPr>
            </w:pPr>
          </w:p>
        </w:tc>
        <w:tc>
          <w:tcPr>
            <w:tcW w:w="325" w:type="pct"/>
            <w:tcBorders>
              <w:top w:val="single" w:color="000000" w:sz="4" w:space="0"/>
              <w:left w:val="nil"/>
              <w:bottom w:val="single" w:color="000000" w:sz="4" w:space="0"/>
              <w:right w:val="single" w:color="000000" w:sz="4" w:space="0"/>
            </w:tcBorders>
            <w:noWrap/>
            <w:vAlign w:val="center"/>
          </w:tcPr>
          <w:p w14:paraId="25445668">
            <w:pPr>
              <w:jc w:val="center"/>
              <w:rPr>
                <w:rFonts w:ascii="宋体" w:hAnsi="宋体"/>
                <w:color w:val="000000" w:themeColor="text1"/>
                <w14:textFill>
                  <w14:solidFill>
                    <w14:schemeClr w14:val="tx1"/>
                  </w14:solidFill>
                </w14:textFill>
              </w:rPr>
            </w:pPr>
          </w:p>
        </w:tc>
        <w:tc>
          <w:tcPr>
            <w:tcW w:w="651" w:type="pct"/>
            <w:tcBorders>
              <w:top w:val="single" w:color="000000" w:sz="4" w:space="0"/>
              <w:left w:val="nil"/>
              <w:bottom w:val="single" w:color="000000" w:sz="4" w:space="0"/>
              <w:right w:val="single" w:color="000000" w:sz="4" w:space="0"/>
            </w:tcBorders>
            <w:noWrap/>
            <w:vAlign w:val="center"/>
          </w:tcPr>
          <w:p w14:paraId="3C80AC8D">
            <w:pPr>
              <w:jc w:val="center"/>
              <w:rPr>
                <w:rFonts w:ascii="宋体" w:hAnsi="宋体"/>
                <w:color w:val="000000" w:themeColor="text1"/>
                <w14:textFill>
                  <w14:solidFill>
                    <w14:schemeClr w14:val="tx1"/>
                  </w14:solidFill>
                </w14:textFill>
              </w:rPr>
            </w:pPr>
          </w:p>
        </w:tc>
      </w:tr>
    </w:tbl>
    <w:p w14:paraId="2D9B5749">
      <w:pPr>
        <w:pStyle w:val="56"/>
        <w:ind w:firstLine="420"/>
        <w:sectPr>
          <w:pgSz w:w="11906" w:h="16838"/>
          <w:pgMar w:top="1928" w:right="1134" w:bottom="1134" w:left="1134" w:header="1418" w:footer="1134" w:gutter="284"/>
          <w:cols w:space="425" w:num="1"/>
          <w:formProt w:val="0"/>
          <w:docGrid w:linePitch="312" w:charSpace="0"/>
        </w:sectPr>
      </w:pPr>
      <w:r>
        <w:rPr>
          <w:rFonts w:hint="eastAsia"/>
        </w:rPr>
        <w:t>说明：清洁执行情况使用打“√”的方式记录。</w:t>
      </w:r>
    </w:p>
    <w:p w14:paraId="52C12980">
      <w:pPr>
        <w:pStyle w:val="198"/>
        <w:rPr>
          <w:vanish w:val="0"/>
        </w:rPr>
      </w:pPr>
    </w:p>
    <w:p w14:paraId="3506549E">
      <w:pPr>
        <w:pStyle w:val="199"/>
        <w:rPr>
          <w:vanish w:val="0"/>
        </w:rPr>
      </w:pPr>
    </w:p>
    <w:p w14:paraId="4DF8AAEE">
      <w:pPr>
        <w:pStyle w:val="76"/>
        <w:spacing w:after="120"/>
      </w:pPr>
      <w:r>
        <w:br w:type="textWrapping"/>
      </w:r>
      <w:bookmarkStart w:id="202" w:name="_Toc224251229"/>
      <w:bookmarkStart w:id="203" w:name="_Toc224251279"/>
      <w:r>
        <w:rPr>
          <w:rFonts w:hint="eastAsia"/>
        </w:rPr>
        <w:t>（资料性）</w:t>
      </w:r>
      <w:r>
        <w:br w:type="textWrapping"/>
      </w:r>
      <w:r>
        <w:rPr>
          <w:rFonts w:hint="eastAsia"/>
        </w:rPr>
        <w:t>老年人居室终末清洁记录表</w:t>
      </w:r>
      <w:bookmarkEnd w:id="202"/>
      <w:bookmarkEnd w:id="203"/>
    </w:p>
    <w:p w14:paraId="395D3CE3">
      <w:pPr>
        <w:pStyle w:val="56"/>
        <w:ind w:firstLine="420"/>
      </w:pPr>
      <w:r>
        <w:rPr>
          <w:rFonts w:hint="eastAsia"/>
        </w:rPr>
        <w:t>实施终末清洁服务后记录的内容示例见表C.1。</w:t>
      </w:r>
    </w:p>
    <w:p w14:paraId="1906D3F7">
      <w:pPr>
        <w:pStyle w:val="77"/>
        <w:spacing w:before="120" w:after="120"/>
      </w:pPr>
      <w:r>
        <w:rPr>
          <w:rFonts w:hint="eastAsia"/>
        </w:rPr>
        <w:t>老年人居室终末清洁记录表</w:t>
      </w:r>
    </w:p>
    <w:tbl>
      <w:tblPr>
        <w:tblStyle w:val="27"/>
        <w:tblW w:w="953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162"/>
        <w:gridCol w:w="946"/>
        <w:gridCol w:w="878"/>
        <w:gridCol w:w="1115"/>
        <w:gridCol w:w="1155"/>
        <w:gridCol w:w="885"/>
        <w:gridCol w:w="1043"/>
        <w:gridCol w:w="1503"/>
      </w:tblGrid>
      <w:tr w14:paraId="0A5D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47FC8110">
            <w:pPr>
              <w:pStyle w:val="56"/>
              <w:ind w:firstLine="0" w:firstLineChars="0"/>
              <w:jc w:val="center"/>
              <w:rPr>
                <w:color w:val="000000" w:themeColor="text1"/>
                <w:szCs w:val="21"/>
                <w14:textFill>
                  <w14:solidFill>
                    <w14:schemeClr w14:val="tx1"/>
                  </w14:solidFill>
                </w14:textFill>
              </w:rPr>
            </w:pPr>
            <w:r>
              <w:rPr>
                <w:rFonts w:hint="eastAsia" w:hAnsi="宋体"/>
                <w:color w:val="000000" w:themeColor="text1"/>
                <w14:textFill>
                  <w14:solidFill>
                    <w14:schemeClr w14:val="tx1"/>
                  </w14:solidFill>
                </w14:textFill>
              </w:rPr>
              <w:t>时间</w:t>
            </w:r>
          </w:p>
        </w:tc>
        <w:tc>
          <w:tcPr>
            <w:tcW w:w="1162" w:type="dxa"/>
            <w:vMerge w:val="restart"/>
            <w:tcBorders>
              <w:top w:val="single" w:color="auto" w:sz="4" w:space="0"/>
              <w:left w:val="single" w:color="auto" w:sz="4" w:space="0"/>
              <w:bottom w:val="single" w:color="auto" w:sz="4" w:space="0"/>
              <w:right w:val="single" w:color="auto" w:sz="4" w:space="0"/>
            </w:tcBorders>
            <w:vAlign w:val="center"/>
          </w:tcPr>
          <w:p w14:paraId="63059964">
            <w:pPr>
              <w:pStyle w:val="56"/>
              <w:ind w:firstLine="0" w:firstLineChars="0"/>
              <w:jc w:val="center"/>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房号/床号</w:t>
            </w:r>
          </w:p>
        </w:tc>
        <w:tc>
          <w:tcPr>
            <w:tcW w:w="6022" w:type="dxa"/>
            <w:gridSpan w:val="6"/>
            <w:tcBorders>
              <w:top w:val="single" w:color="auto" w:sz="4" w:space="0"/>
              <w:left w:val="single" w:color="auto" w:sz="4" w:space="0"/>
              <w:bottom w:val="single" w:color="auto" w:sz="4" w:space="0"/>
              <w:right w:val="single" w:color="auto" w:sz="4" w:space="0"/>
            </w:tcBorders>
            <w:vAlign w:val="center"/>
          </w:tcPr>
          <w:p w14:paraId="72FE5E23">
            <w:pPr>
              <w:pStyle w:val="56"/>
              <w:ind w:firstLine="0" w:firstLineChars="0"/>
              <w:jc w:val="center"/>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终末清洁执行情况</w:t>
            </w:r>
          </w:p>
        </w:tc>
        <w:tc>
          <w:tcPr>
            <w:tcW w:w="1503" w:type="dxa"/>
            <w:vMerge w:val="restart"/>
            <w:tcBorders>
              <w:top w:val="single" w:color="auto" w:sz="4" w:space="0"/>
              <w:left w:val="single" w:color="auto" w:sz="4" w:space="0"/>
              <w:bottom w:val="single" w:color="auto" w:sz="4" w:space="0"/>
              <w:right w:val="single" w:color="auto" w:sz="4" w:space="0"/>
            </w:tcBorders>
            <w:vAlign w:val="center"/>
          </w:tcPr>
          <w:p w14:paraId="51F6471C">
            <w:pPr>
              <w:pStyle w:val="56"/>
              <w:ind w:firstLine="0" w:firstLineChars="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执行者</w:t>
            </w:r>
          </w:p>
          <w:p w14:paraId="1BEA74B8">
            <w:pPr>
              <w:pStyle w:val="56"/>
              <w:ind w:firstLine="0" w:firstLineChars="0"/>
              <w:jc w:val="center"/>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签名</w:t>
            </w:r>
          </w:p>
        </w:tc>
      </w:tr>
      <w:tr w14:paraId="38B5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627FBDEA">
            <w:pPr>
              <w:widowControl/>
              <w:adjustRightInd/>
              <w:spacing w:line="240" w:lineRule="auto"/>
              <w:jc w:val="left"/>
              <w:rPr>
                <w:rFonts w:ascii="宋体"/>
                <w:color w:val="000000" w:themeColor="text1"/>
                <w:kern w:val="0"/>
                <w14:textFill>
                  <w14:solidFill>
                    <w14:schemeClr w14:val="tx1"/>
                  </w14:solidFill>
                </w14:textFill>
              </w:rPr>
            </w:pPr>
          </w:p>
        </w:tc>
        <w:tc>
          <w:tcPr>
            <w:tcW w:w="1162" w:type="dxa"/>
            <w:vMerge w:val="continue"/>
            <w:tcBorders>
              <w:top w:val="single" w:color="auto" w:sz="4" w:space="0"/>
              <w:left w:val="single" w:color="auto" w:sz="4" w:space="0"/>
              <w:bottom w:val="single" w:color="auto" w:sz="4" w:space="0"/>
              <w:right w:val="single" w:color="auto" w:sz="4" w:space="0"/>
            </w:tcBorders>
            <w:vAlign w:val="center"/>
          </w:tcPr>
          <w:p w14:paraId="6BF3356C">
            <w:pPr>
              <w:widowControl/>
              <w:adjustRightInd/>
              <w:spacing w:line="240" w:lineRule="auto"/>
              <w:jc w:val="left"/>
              <w:rPr>
                <w:rFonts w:ascii="宋体"/>
                <w:color w:val="000000" w:themeColor="text1"/>
                <w:kern w:val="0"/>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4ADAF582">
            <w:pPr>
              <w:pStyle w:val="56"/>
              <w:ind w:firstLine="0" w:firstLineChars="0"/>
              <w:jc w:val="center"/>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空气</w:t>
            </w:r>
          </w:p>
        </w:tc>
        <w:tc>
          <w:tcPr>
            <w:tcW w:w="878" w:type="dxa"/>
            <w:tcBorders>
              <w:top w:val="single" w:color="auto" w:sz="4" w:space="0"/>
              <w:left w:val="single" w:color="auto" w:sz="4" w:space="0"/>
              <w:bottom w:val="single" w:color="auto" w:sz="4" w:space="0"/>
              <w:right w:val="single" w:color="auto" w:sz="4" w:space="0"/>
            </w:tcBorders>
            <w:vAlign w:val="center"/>
          </w:tcPr>
          <w:p w14:paraId="0F2FD04B">
            <w:pPr>
              <w:pStyle w:val="56"/>
              <w:ind w:firstLine="0" w:firstLineChars="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床上</w:t>
            </w:r>
          </w:p>
          <w:p w14:paraId="02D78706">
            <w:pPr>
              <w:pStyle w:val="56"/>
              <w:ind w:firstLine="0" w:firstLineChars="0"/>
              <w:jc w:val="center"/>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用品</w:t>
            </w:r>
          </w:p>
        </w:tc>
        <w:tc>
          <w:tcPr>
            <w:tcW w:w="1115" w:type="dxa"/>
            <w:tcBorders>
              <w:top w:val="single" w:color="auto" w:sz="4" w:space="0"/>
              <w:left w:val="single" w:color="auto" w:sz="4" w:space="0"/>
              <w:bottom w:val="single" w:color="auto" w:sz="4" w:space="0"/>
              <w:right w:val="single" w:color="auto" w:sz="4" w:space="0"/>
            </w:tcBorders>
            <w:vAlign w:val="center"/>
          </w:tcPr>
          <w:p w14:paraId="68EC2A92">
            <w:pPr>
              <w:pStyle w:val="56"/>
              <w:ind w:firstLine="0" w:firstLineChars="0"/>
              <w:jc w:val="center"/>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个人生活用品</w:t>
            </w:r>
          </w:p>
        </w:tc>
        <w:tc>
          <w:tcPr>
            <w:tcW w:w="1155" w:type="dxa"/>
            <w:tcBorders>
              <w:top w:val="single" w:color="auto" w:sz="4" w:space="0"/>
              <w:left w:val="single" w:color="auto" w:sz="4" w:space="0"/>
              <w:bottom w:val="single" w:color="auto" w:sz="4" w:space="0"/>
              <w:right w:val="single" w:color="auto" w:sz="4" w:space="0"/>
            </w:tcBorders>
            <w:vAlign w:val="center"/>
          </w:tcPr>
          <w:p w14:paraId="71C7FA76">
            <w:pPr>
              <w:pStyle w:val="56"/>
              <w:ind w:firstLine="0" w:firstLineChars="0"/>
              <w:jc w:val="center"/>
              <w:rPr>
                <w:color w:val="000000" w:themeColor="text1"/>
                <w14:textFill>
                  <w14:solidFill>
                    <w14:schemeClr w14:val="tx1"/>
                  </w14:solidFill>
                </w14:textFill>
              </w:rPr>
            </w:pPr>
            <w:r>
              <w:rPr>
                <w:rFonts w:hint="eastAsia" w:hAnsi="宋体"/>
                <w:color w:val="000000" w:themeColor="text1"/>
                <w14:textFill>
                  <w14:solidFill>
                    <w14:schemeClr w14:val="tx1"/>
                  </w14:solidFill>
                </w14:textFill>
              </w:rPr>
              <w:t>家具设备</w:t>
            </w:r>
          </w:p>
        </w:tc>
        <w:tc>
          <w:tcPr>
            <w:tcW w:w="885" w:type="dxa"/>
            <w:tcBorders>
              <w:top w:val="single" w:color="auto" w:sz="4" w:space="0"/>
              <w:left w:val="single" w:color="auto" w:sz="4" w:space="0"/>
              <w:bottom w:val="single" w:color="auto" w:sz="4" w:space="0"/>
              <w:right w:val="single" w:color="auto" w:sz="4" w:space="0"/>
            </w:tcBorders>
            <w:vAlign w:val="center"/>
          </w:tcPr>
          <w:p w14:paraId="09BCBB69">
            <w:pPr>
              <w:pStyle w:val="56"/>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地面</w:t>
            </w:r>
          </w:p>
        </w:tc>
        <w:tc>
          <w:tcPr>
            <w:tcW w:w="1043" w:type="dxa"/>
            <w:tcBorders>
              <w:top w:val="single" w:color="auto" w:sz="4" w:space="0"/>
              <w:left w:val="single" w:color="auto" w:sz="4" w:space="0"/>
              <w:bottom w:val="single" w:color="auto" w:sz="4" w:space="0"/>
              <w:right w:val="single" w:color="auto" w:sz="4" w:space="0"/>
            </w:tcBorders>
            <w:vAlign w:val="center"/>
          </w:tcPr>
          <w:p w14:paraId="30DF4898">
            <w:pPr>
              <w:pStyle w:val="56"/>
              <w:ind w:firstLine="0" w:firstLineChars="0"/>
              <w:jc w:val="center"/>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186D475">
            <w:pPr>
              <w:widowControl/>
              <w:adjustRightInd/>
              <w:spacing w:line="240" w:lineRule="auto"/>
              <w:jc w:val="left"/>
              <w:rPr>
                <w:rFonts w:ascii="宋体"/>
                <w:color w:val="000000" w:themeColor="text1"/>
                <w:kern w:val="0"/>
                <w14:textFill>
                  <w14:solidFill>
                    <w14:schemeClr w14:val="tx1"/>
                  </w14:solidFill>
                </w14:textFill>
              </w:rPr>
            </w:pPr>
          </w:p>
        </w:tc>
      </w:tr>
      <w:tr w14:paraId="44D9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851" w:type="dxa"/>
            <w:tcBorders>
              <w:top w:val="single" w:color="auto" w:sz="4" w:space="0"/>
              <w:left w:val="single" w:color="auto" w:sz="4" w:space="0"/>
              <w:bottom w:val="single" w:color="auto" w:sz="4" w:space="0"/>
              <w:right w:val="single" w:color="auto" w:sz="4" w:space="0"/>
            </w:tcBorders>
            <w:vAlign w:val="center"/>
          </w:tcPr>
          <w:p w14:paraId="711411A9">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05F55877">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5EE30790">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54C34613">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5BD77C7C">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00536807">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4AF97976">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5903AE2B">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4C7AF153">
            <w:pPr>
              <w:pStyle w:val="56"/>
              <w:ind w:firstLine="420"/>
              <w:jc w:val="center"/>
              <w:rPr>
                <w:color w:val="000000" w:themeColor="text1"/>
                <w14:textFill>
                  <w14:solidFill>
                    <w14:schemeClr w14:val="tx1"/>
                  </w14:solidFill>
                </w14:textFill>
              </w:rPr>
            </w:pPr>
          </w:p>
        </w:tc>
      </w:tr>
      <w:tr w14:paraId="31FB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851" w:type="dxa"/>
            <w:tcBorders>
              <w:top w:val="single" w:color="auto" w:sz="4" w:space="0"/>
              <w:left w:val="single" w:color="auto" w:sz="4" w:space="0"/>
              <w:bottom w:val="single" w:color="auto" w:sz="4" w:space="0"/>
              <w:right w:val="single" w:color="auto" w:sz="4" w:space="0"/>
            </w:tcBorders>
            <w:vAlign w:val="center"/>
          </w:tcPr>
          <w:p w14:paraId="391C2C89">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52E49AF6">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77827FF2">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7BD7CCD6">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094FB07A">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7D8B4406">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10631015">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40BEBB82">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220DE050">
            <w:pPr>
              <w:pStyle w:val="56"/>
              <w:ind w:firstLine="420"/>
              <w:jc w:val="center"/>
              <w:rPr>
                <w:color w:val="000000" w:themeColor="text1"/>
                <w14:textFill>
                  <w14:solidFill>
                    <w14:schemeClr w14:val="tx1"/>
                  </w14:solidFill>
                </w14:textFill>
              </w:rPr>
            </w:pPr>
          </w:p>
        </w:tc>
      </w:tr>
      <w:tr w14:paraId="37F3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851" w:type="dxa"/>
            <w:tcBorders>
              <w:top w:val="single" w:color="auto" w:sz="4" w:space="0"/>
              <w:left w:val="single" w:color="auto" w:sz="4" w:space="0"/>
              <w:bottom w:val="single" w:color="auto" w:sz="4" w:space="0"/>
              <w:right w:val="single" w:color="auto" w:sz="4" w:space="0"/>
            </w:tcBorders>
            <w:vAlign w:val="center"/>
          </w:tcPr>
          <w:p w14:paraId="60D0BB23">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0E8D812B">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395060AE">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638DD109">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46F12199">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39220838">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07FEA409">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6479AF76">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467EFC65">
            <w:pPr>
              <w:pStyle w:val="56"/>
              <w:ind w:firstLine="420"/>
              <w:jc w:val="center"/>
              <w:rPr>
                <w:color w:val="000000" w:themeColor="text1"/>
                <w14:textFill>
                  <w14:solidFill>
                    <w14:schemeClr w14:val="tx1"/>
                  </w14:solidFill>
                </w14:textFill>
              </w:rPr>
            </w:pPr>
          </w:p>
        </w:tc>
      </w:tr>
      <w:tr w14:paraId="135A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851" w:type="dxa"/>
            <w:tcBorders>
              <w:top w:val="single" w:color="auto" w:sz="4" w:space="0"/>
              <w:left w:val="single" w:color="auto" w:sz="4" w:space="0"/>
              <w:bottom w:val="single" w:color="auto" w:sz="4" w:space="0"/>
              <w:right w:val="single" w:color="auto" w:sz="4" w:space="0"/>
            </w:tcBorders>
            <w:vAlign w:val="center"/>
          </w:tcPr>
          <w:p w14:paraId="22A1134C">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13EFCB79">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343E6CA7">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55548F91">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04AC1B1A">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7806EBD6">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5E13AF89">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5CA73462">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418D6777">
            <w:pPr>
              <w:pStyle w:val="56"/>
              <w:ind w:firstLine="420"/>
              <w:jc w:val="center"/>
              <w:rPr>
                <w:color w:val="000000" w:themeColor="text1"/>
                <w14:textFill>
                  <w14:solidFill>
                    <w14:schemeClr w14:val="tx1"/>
                  </w14:solidFill>
                </w14:textFill>
              </w:rPr>
            </w:pPr>
          </w:p>
        </w:tc>
      </w:tr>
      <w:tr w14:paraId="2531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851" w:type="dxa"/>
            <w:tcBorders>
              <w:top w:val="single" w:color="auto" w:sz="4" w:space="0"/>
              <w:left w:val="single" w:color="auto" w:sz="4" w:space="0"/>
              <w:bottom w:val="single" w:color="auto" w:sz="4" w:space="0"/>
              <w:right w:val="single" w:color="auto" w:sz="4" w:space="0"/>
            </w:tcBorders>
            <w:vAlign w:val="center"/>
          </w:tcPr>
          <w:p w14:paraId="0A6C81B1">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24B7DA67">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6F700E3B">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7AB2A6B1">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33D08697">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1C8E7A71">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3B9EBB95">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6B329521">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72C41085">
            <w:pPr>
              <w:pStyle w:val="56"/>
              <w:ind w:firstLine="420"/>
              <w:jc w:val="center"/>
              <w:rPr>
                <w:color w:val="000000" w:themeColor="text1"/>
                <w14:textFill>
                  <w14:solidFill>
                    <w14:schemeClr w14:val="tx1"/>
                  </w14:solidFill>
                </w14:textFill>
              </w:rPr>
            </w:pPr>
          </w:p>
        </w:tc>
      </w:tr>
      <w:tr w14:paraId="729A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851" w:type="dxa"/>
            <w:tcBorders>
              <w:top w:val="single" w:color="auto" w:sz="4" w:space="0"/>
              <w:left w:val="single" w:color="auto" w:sz="4" w:space="0"/>
              <w:bottom w:val="single" w:color="auto" w:sz="4" w:space="0"/>
              <w:right w:val="single" w:color="auto" w:sz="4" w:space="0"/>
            </w:tcBorders>
            <w:vAlign w:val="center"/>
          </w:tcPr>
          <w:p w14:paraId="762E7B2D">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5289251A">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397B2AD3">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4D50E18F">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3B2007B6">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388BCE62">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7EDA1E19">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6D1656BF">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1F902AD3">
            <w:pPr>
              <w:pStyle w:val="56"/>
              <w:ind w:firstLine="420"/>
              <w:jc w:val="center"/>
              <w:rPr>
                <w:color w:val="000000" w:themeColor="text1"/>
                <w14:textFill>
                  <w14:solidFill>
                    <w14:schemeClr w14:val="tx1"/>
                  </w14:solidFill>
                </w14:textFill>
              </w:rPr>
            </w:pPr>
          </w:p>
        </w:tc>
      </w:tr>
      <w:tr w14:paraId="0F12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851" w:type="dxa"/>
            <w:tcBorders>
              <w:top w:val="single" w:color="auto" w:sz="4" w:space="0"/>
              <w:left w:val="single" w:color="auto" w:sz="4" w:space="0"/>
              <w:bottom w:val="single" w:color="auto" w:sz="4" w:space="0"/>
              <w:right w:val="single" w:color="auto" w:sz="4" w:space="0"/>
            </w:tcBorders>
            <w:vAlign w:val="center"/>
          </w:tcPr>
          <w:p w14:paraId="10FDE6A7">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662FA6DA">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196B5E04">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015636B6">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569E94FB">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3FFCCACC">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35C018CF">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502C13FB">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1AE79642">
            <w:pPr>
              <w:pStyle w:val="56"/>
              <w:ind w:firstLine="420"/>
              <w:jc w:val="center"/>
              <w:rPr>
                <w:color w:val="000000" w:themeColor="text1"/>
                <w14:textFill>
                  <w14:solidFill>
                    <w14:schemeClr w14:val="tx1"/>
                  </w14:solidFill>
                </w14:textFill>
              </w:rPr>
            </w:pPr>
          </w:p>
        </w:tc>
      </w:tr>
      <w:tr w14:paraId="0E83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851" w:type="dxa"/>
            <w:tcBorders>
              <w:top w:val="single" w:color="auto" w:sz="4" w:space="0"/>
              <w:left w:val="single" w:color="auto" w:sz="4" w:space="0"/>
              <w:bottom w:val="single" w:color="auto" w:sz="4" w:space="0"/>
              <w:right w:val="single" w:color="auto" w:sz="4" w:space="0"/>
            </w:tcBorders>
            <w:vAlign w:val="center"/>
          </w:tcPr>
          <w:p w14:paraId="2D0675F3">
            <w:pPr>
              <w:pStyle w:val="56"/>
              <w:ind w:firstLine="420"/>
              <w:jc w:val="center"/>
              <w:rPr>
                <w:color w:val="000000" w:themeColor="text1"/>
                <w14:textFill>
                  <w14:solidFill>
                    <w14:schemeClr w14:val="tx1"/>
                  </w14:solidFill>
                </w14:textFill>
              </w:rPr>
            </w:pPr>
          </w:p>
        </w:tc>
        <w:tc>
          <w:tcPr>
            <w:tcW w:w="1162" w:type="dxa"/>
            <w:tcBorders>
              <w:top w:val="single" w:color="auto" w:sz="4" w:space="0"/>
              <w:left w:val="single" w:color="auto" w:sz="4" w:space="0"/>
              <w:bottom w:val="single" w:color="auto" w:sz="4" w:space="0"/>
              <w:right w:val="single" w:color="auto" w:sz="4" w:space="0"/>
            </w:tcBorders>
            <w:vAlign w:val="center"/>
          </w:tcPr>
          <w:p w14:paraId="148F81EA">
            <w:pPr>
              <w:pStyle w:val="56"/>
              <w:ind w:firstLine="420"/>
              <w:jc w:val="center"/>
              <w:rPr>
                <w:color w:val="000000" w:themeColor="text1"/>
                <w14:textFill>
                  <w14:solidFill>
                    <w14:schemeClr w14:val="tx1"/>
                  </w14:solidFill>
                </w14:textFill>
              </w:rPr>
            </w:pPr>
          </w:p>
        </w:tc>
        <w:tc>
          <w:tcPr>
            <w:tcW w:w="946" w:type="dxa"/>
            <w:tcBorders>
              <w:top w:val="single" w:color="auto" w:sz="4" w:space="0"/>
              <w:left w:val="single" w:color="auto" w:sz="4" w:space="0"/>
              <w:bottom w:val="single" w:color="auto" w:sz="4" w:space="0"/>
              <w:right w:val="single" w:color="auto" w:sz="4" w:space="0"/>
            </w:tcBorders>
            <w:vAlign w:val="center"/>
          </w:tcPr>
          <w:p w14:paraId="43E6204F">
            <w:pPr>
              <w:pStyle w:val="56"/>
              <w:ind w:firstLine="420"/>
              <w:jc w:val="center"/>
              <w:rPr>
                <w:color w:val="000000" w:themeColor="text1"/>
                <w14:textFill>
                  <w14:solidFill>
                    <w14:schemeClr w14:val="tx1"/>
                  </w14:solidFill>
                </w14:textFill>
              </w:rPr>
            </w:pPr>
          </w:p>
        </w:tc>
        <w:tc>
          <w:tcPr>
            <w:tcW w:w="878" w:type="dxa"/>
            <w:tcBorders>
              <w:top w:val="single" w:color="auto" w:sz="4" w:space="0"/>
              <w:left w:val="single" w:color="auto" w:sz="4" w:space="0"/>
              <w:bottom w:val="single" w:color="auto" w:sz="4" w:space="0"/>
              <w:right w:val="single" w:color="auto" w:sz="4" w:space="0"/>
            </w:tcBorders>
            <w:vAlign w:val="center"/>
          </w:tcPr>
          <w:p w14:paraId="00D064DF">
            <w:pPr>
              <w:pStyle w:val="56"/>
              <w:ind w:firstLine="420"/>
              <w:jc w:val="center"/>
              <w:rPr>
                <w:color w:val="000000" w:themeColor="text1"/>
                <w14:textFill>
                  <w14:solidFill>
                    <w14:schemeClr w14:val="tx1"/>
                  </w14:solidFill>
                </w14:textFill>
              </w:rPr>
            </w:pPr>
          </w:p>
        </w:tc>
        <w:tc>
          <w:tcPr>
            <w:tcW w:w="1115" w:type="dxa"/>
            <w:tcBorders>
              <w:top w:val="single" w:color="auto" w:sz="4" w:space="0"/>
              <w:left w:val="single" w:color="auto" w:sz="4" w:space="0"/>
              <w:bottom w:val="single" w:color="auto" w:sz="4" w:space="0"/>
              <w:right w:val="single" w:color="auto" w:sz="4" w:space="0"/>
            </w:tcBorders>
            <w:vAlign w:val="center"/>
          </w:tcPr>
          <w:p w14:paraId="21F7B79D">
            <w:pPr>
              <w:pStyle w:val="56"/>
              <w:ind w:firstLine="420"/>
              <w:jc w:val="center"/>
              <w:rPr>
                <w:color w:val="000000" w:themeColor="text1"/>
                <w14:textFill>
                  <w14:solidFill>
                    <w14:schemeClr w14:val="tx1"/>
                  </w14:solidFill>
                </w14:textFill>
              </w:rPr>
            </w:pPr>
          </w:p>
        </w:tc>
        <w:tc>
          <w:tcPr>
            <w:tcW w:w="1155" w:type="dxa"/>
            <w:tcBorders>
              <w:top w:val="single" w:color="auto" w:sz="4" w:space="0"/>
              <w:left w:val="single" w:color="auto" w:sz="4" w:space="0"/>
              <w:bottom w:val="single" w:color="auto" w:sz="4" w:space="0"/>
              <w:right w:val="single" w:color="auto" w:sz="4" w:space="0"/>
            </w:tcBorders>
            <w:vAlign w:val="center"/>
          </w:tcPr>
          <w:p w14:paraId="000AB4F1">
            <w:pPr>
              <w:pStyle w:val="56"/>
              <w:ind w:firstLine="420"/>
              <w:jc w:val="center"/>
              <w:rPr>
                <w:color w:val="000000" w:themeColor="text1"/>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2D2F4767">
            <w:pPr>
              <w:pStyle w:val="56"/>
              <w:ind w:firstLine="420"/>
              <w:jc w:val="center"/>
              <w:rPr>
                <w:color w:val="000000" w:themeColor="text1"/>
                <w14:textFill>
                  <w14:solidFill>
                    <w14:schemeClr w14:val="tx1"/>
                  </w14:solidFill>
                </w14:textFill>
              </w:rPr>
            </w:pPr>
          </w:p>
        </w:tc>
        <w:tc>
          <w:tcPr>
            <w:tcW w:w="1043" w:type="dxa"/>
            <w:tcBorders>
              <w:top w:val="single" w:color="auto" w:sz="4" w:space="0"/>
              <w:left w:val="single" w:color="auto" w:sz="4" w:space="0"/>
              <w:bottom w:val="single" w:color="auto" w:sz="4" w:space="0"/>
              <w:right w:val="single" w:color="auto" w:sz="4" w:space="0"/>
            </w:tcBorders>
            <w:vAlign w:val="center"/>
          </w:tcPr>
          <w:p w14:paraId="750043E5">
            <w:pPr>
              <w:pStyle w:val="56"/>
              <w:ind w:firstLine="420"/>
              <w:jc w:val="center"/>
              <w:rPr>
                <w:color w:val="000000" w:themeColor="text1"/>
                <w14:textFill>
                  <w14:solidFill>
                    <w14:schemeClr w14:val="tx1"/>
                  </w14:solidFill>
                </w14:textFill>
              </w:rPr>
            </w:pPr>
          </w:p>
        </w:tc>
        <w:tc>
          <w:tcPr>
            <w:tcW w:w="1503" w:type="dxa"/>
            <w:tcBorders>
              <w:top w:val="single" w:color="auto" w:sz="4" w:space="0"/>
              <w:left w:val="single" w:color="auto" w:sz="4" w:space="0"/>
              <w:bottom w:val="single" w:color="auto" w:sz="4" w:space="0"/>
              <w:right w:val="single" w:color="auto" w:sz="4" w:space="0"/>
            </w:tcBorders>
            <w:vAlign w:val="center"/>
          </w:tcPr>
          <w:p w14:paraId="36286DA9">
            <w:pPr>
              <w:pStyle w:val="56"/>
              <w:ind w:firstLine="420"/>
              <w:jc w:val="center"/>
              <w:rPr>
                <w:color w:val="000000" w:themeColor="text1"/>
                <w14:textFill>
                  <w14:solidFill>
                    <w14:schemeClr w14:val="tx1"/>
                  </w14:solidFill>
                </w14:textFill>
              </w:rPr>
            </w:pPr>
          </w:p>
        </w:tc>
      </w:tr>
    </w:tbl>
    <w:p w14:paraId="083FED1B">
      <w:pPr>
        <w:pStyle w:val="56"/>
        <w:ind w:firstLine="420"/>
      </w:pPr>
      <w:r>
        <w:rPr>
          <w:rFonts w:hint="eastAsia"/>
        </w:rPr>
        <w:t>说明：终末清洁执行情况使用打“√”的方式记录。</w:t>
      </w:r>
    </w:p>
    <w:p w14:paraId="686D3AD2">
      <w:pPr>
        <w:pStyle w:val="56"/>
        <w:ind w:firstLine="420"/>
      </w:pPr>
    </w:p>
    <w:bookmarkEnd w:id="197"/>
    <w:p w14:paraId="480AF4D3">
      <w:pPr>
        <w:pStyle w:val="56"/>
        <w:ind w:firstLine="420"/>
        <w:sectPr>
          <w:pgSz w:w="11906" w:h="16838"/>
          <w:pgMar w:top="1928" w:right="1134" w:bottom="1134" w:left="1134" w:header="1418" w:footer="1134" w:gutter="284"/>
          <w:cols w:space="425" w:num="1"/>
          <w:formProt w:val="0"/>
          <w:docGrid w:linePitch="312" w:charSpace="0"/>
        </w:sectPr>
      </w:pPr>
      <w:bookmarkStart w:id="204" w:name="BookMark6"/>
    </w:p>
    <w:p w14:paraId="4C1E1BF8">
      <w:pPr>
        <w:pStyle w:val="63"/>
        <w:spacing w:after="120"/>
      </w:pPr>
      <w:bookmarkStart w:id="205" w:name="_Toc224251280"/>
      <w:bookmarkStart w:id="206" w:name="_Toc224251230"/>
      <w:r>
        <w:rPr>
          <w:rFonts w:hint="eastAsia"/>
          <w:spacing w:val="105"/>
        </w:rPr>
        <w:t>参考文</w:t>
      </w:r>
      <w:r>
        <w:rPr>
          <w:rFonts w:hint="eastAsia"/>
        </w:rPr>
        <w:t>献</w:t>
      </w:r>
      <w:bookmarkEnd w:id="205"/>
      <w:bookmarkEnd w:id="206"/>
    </w:p>
    <w:p w14:paraId="00A0B570">
      <w:pPr>
        <w:pStyle w:val="56"/>
        <w:numPr>
          <w:ilvl w:val="0"/>
          <w:numId w:val="40"/>
        </w:numPr>
        <w:ind w:firstLine="420" w:firstLineChars="0"/>
        <w:rPr>
          <w:rFonts w:hAnsi="宋体"/>
        </w:rPr>
      </w:pPr>
      <w:r>
        <w:rPr>
          <w:rFonts w:hint="eastAsia" w:hAnsi="宋体"/>
        </w:rPr>
        <w:t>GB 15982—2012 医院消毒卫生标准</w:t>
      </w:r>
    </w:p>
    <w:p w14:paraId="7F5F8B49">
      <w:pPr>
        <w:pStyle w:val="56"/>
        <w:numPr>
          <w:ilvl w:val="0"/>
          <w:numId w:val="40"/>
        </w:numPr>
        <w:ind w:firstLine="420" w:firstLineChars="0"/>
        <w:rPr>
          <w:rFonts w:hAnsi="宋体"/>
        </w:rPr>
      </w:pPr>
      <w:r>
        <w:rPr>
          <w:rFonts w:hAnsi="宋体"/>
        </w:rPr>
        <w:t>GB/T</w:t>
      </w:r>
      <w:r>
        <w:rPr>
          <w:rFonts w:hint="eastAsia" w:hAnsi="宋体"/>
        </w:rPr>
        <w:t xml:space="preserve"> </w:t>
      </w:r>
      <w:r>
        <w:rPr>
          <w:rFonts w:hAnsi="宋体"/>
        </w:rPr>
        <w:t>46914—2025</w:t>
      </w:r>
      <w:r>
        <w:rPr>
          <w:rFonts w:hint="eastAsia" w:hAnsi="宋体"/>
        </w:rPr>
        <w:t xml:space="preserve"> 养老机构生活照料服务基本规范</w:t>
      </w:r>
    </w:p>
    <w:p w14:paraId="1F0EC395">
      <w:pPr>
        <w:pStyle w:val="56"/>
        <w:numPr>
          <w:ilvl w:val="0"/>
          <w:numId w:val="40"/>
        </w:numPr>
        <w:ind w:firstLine="420" w:firstLineChars="0"/>
        <w:rPr>
          <w:rFonts w:hAnsi="宋体"/>
        </w:rPr>
      </w:pPr>
      <w:r>
        <w:rPr>
          <w:rFonts w:hint="eastAsia" w:hAnsi="宋体"/>
        </w:rPr>
        <w:t>MZ/T 171—2021 养老机构生活照料服务规范</w:t>
      </w:r>
    </w:p>
    <w:p w14:paraId="04677EF5">
      <w:pPr>
        <w:pStyle w:val="56"/>
        <w:numPr>
          <w:ilvl w:val="0"/>
          <w:numId w:val="40"/>
        </w:numPr>
        <w:ind w:firstLine="420"/>
      </w:pPr>
      <w:r>
        <w:rPr>
          <w:rFonts w:hint="eastAsia" w:hAnsi="宋体"/>
        </w:rPr>
        <w:t>WS/T 313 医务人员手卫生规范</w:t>
      </w:r>
    </w:p>
    <w:p w14:paraId="25F57998">
      <w:pPr>
        <w:pStyle w:val="56"/>
        <w:numPr>
          <w:ilvl w:val="0"/>
          <w:numId w:val="40"/>
        </w:numPr>
        <w:ind w:firstLine="420"/>
      </w:pPr>
      <w:r>
        <w:rPr>
          <w:rFonts w:hint="eastAsia" w:hAnsi="宋体"/>
        </w:rPr>
        <w:t>《&lt;养老机构等级划分与评定&gt;国家标准实施指南（2023版）》</w:t>
      </w:r>
    </w:p>
    <w:bookmarkEnd w:id="204"/>
    <w:p w14:paraId="6D802CDB">
      <w:pPr>
        <w:pStyle w:val="56"/>
        <w:ind w:firstLine="0" w:firstLineChars="0"/>
        <w:jc w:val="center"/>
      </w:pPr>
      <w:bookmarkStart w:id="207" w:name="BookMark8"/>
      <w:r>
        <w:rPr>
          <w:rFonts w:hint="eastAsia"/>
        </w:rPr>
        <w:drawing>
          <wp:inline distT="0" distB="0" distL="0" distR="0">
            <wp:extent cx="1485900" cy="317500"/>
            <wp:effectExtent l="0" t="0" r="0" b="6350"/>
            <wp:docPr id="125054881" name="图片 1"/>
            <wp:cNvGraphicFramePr/>
            <a:graphic xmlns:a="http://schemas.openxmlformats.org/drawingml/2006/main">
              <a:graphicData uri="http://schemas.openxmlformats.org/drawingml/2006/picture">
                <pic:pic xmlns:pic="http://schemas.openxmlformats.org/drawingml/2006/picture">
                  <pic:nvPicPr>
                    <pic:cNvPr id="125054881" name="图片 1"/>
                    <pic:cNvPicPr/>
                  </pic:nvPicPr>
                  <pic:blipFill>
                    <a:blip r:embed="rId15">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07"/>
    </w:p>
    <w:sectPr>
      <w:pgSz w:w="11906" w:h="16838"/>
      <w:pgMar w:top="1928"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DE1A1">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D4E8D">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FE137">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E3E42">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85B9F">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353A8">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BCBC2">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76763">
    <w:pPr>
      <w:pStyle w:val="61"/>
    </w:pPr>
    <w:r>
      <w:fldChar w:fldCharType="begin"/>
    </w:r>
    <w:r>
      <w:instrText xml:space="preserve"> STYLEREF  标准文件_文件编号  \* MERGEFORMAT </w:instrText>
    </w:r>
    <w:r>
      <w:fldChar w:fldCharType="separate"/>
    </w:r>
    <w:r>
      <w:t>MZ/T XXXXX—XXXX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97652">
    <w:pPr>
      <w:pStyle w:val="18"/>
      <w:jc w:val="right"/>
    </w:pPr>
    <w:r>
      <w:fldChar w:fldCharType="begin"/>
    </w:r>
    <w:r>
      <w:instrText xml:space="preserve"> STYLEREF  标准文件_文件编号  \* MERGEFORMAT </w:instrText>
    </w:r>
    <w:r>
      <w:fldChar w:fldCharType="separate"/>
    </w:r>
    <w:r>
      <w:t>MZ/T XXXXX—XXXX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4D66DAE"/>
    <w:multiLevelType w:val="multilevel"/>
    <w:tmpl w:val="54D66DAE"/>
    <w:lvl w:ilvl="0" w:tentative="0">
      <w:start w:val="1"/>
      <w:numFmt w:val="decimal"/>
      <w:suff w:val="space"/>
      <w:lvlText w:val="[%1]"/>
      <w:lvlJc w:val="left"/>
      <w:pPr>
        <w:ind w:left="0" w:firstLine="0"/>
      </w:pPr>
      <w:rPr>
        <w:rFonts w:hint="default" w:ascii="宋体" w:hAnsi="宋体" w:eastAsia="宋体"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20"/>
  </w:num>
  <w:num w:numId="16">
    <w:abstractNumId w:val="22"/>
  </w:num>
  <w:num w:numId="17">
    <w:abstractNumId w:val="18"/>
  </w:num>
  <w:num w:numId="18">
    <w:abstractNumId w:val="30"/>
  </w:num>
  <w:num w:numId="19">
    <w:abstractNumId w:val="15"/>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5"/>
  </w:num>
  <w:num w:numId="31">
    <w:abstractNumId w:val="23"/>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attachedTemplate r:id="rId1"/>
  <w:trackRevisions w:val="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40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10E8"/>
    <w:rsid w:val="0004249A"/>
    <w:rsid w:val="00043282"/>
    <w:rsid w:val="00044286"/>
    <w:rsid w:val="00047F28"/>
    <w:rsid w:val="00047F8C"/>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7666"/>
    <w:rsid w:val="000D0A9C"/>
    <w:rsid w:val="000D1795"/>
    <w:rsid w:val="000D2F41"/>
    <w:rsid w:val="000D329A"/>
    <w:rsid w:val="000D4B9C"/>
    <w:rsid w:val="000D4EB6"/>
    <w:rsid w:val="000D753B"/>
    <w:rsid w:val="000E040E"/>
    <w:rsid w:val="000E4C9E"/>
    <w:rsid w:val="000E6FD7"/>
    <w:rsid w:val="000F06E1"/>
    <w:rsid w:val="000F0E3C"/>
    <w:rsid w:val="000F19D5"/>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41114"/>
    <w:rsid w:val="00142969"/>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A1A53"/>
    <w:rsid w:val="001A234A"/>
    <w:rsid w:val="001B06E8"/>
    <w:rsid w:val="001B193E"/>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059A4"/>
    <w:rsid w:val="00205F2C"/>
    <w:rsid w:val="00210B15"/>
    <w:rsid w:val="002142EA"/>
    <w:rsid w:val="002204BB"/>
    <w:rsid w:val="00221B79"/>
    <w:rsid w:val="00221C6B"/>
    <w:rsid w:val="00224596"/>
    <w:rsid w:val="002253A1"/>
    <w:rsid w:val="00225CF8"/>
    <w:rsid w:val="0022718D"/>
    <w:rsid w:val="0022794E"/>
    <w:rsid w:val="00233D64"/>
    <w:rsid w:val="0023478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4BC"/>
    <w:rsid w:val="002643C3"/>
    <w:rsid w:val="00264A0C"/>
    <w:rsid w:val="00267EF4"/>
    <w:rsid w:val="00270CB8"/>
    <w:rsid w:val="00272B08"/>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23E3"/>
    <w:rsid w:val="002B4508"/>
    <w:rsid w:val="002B5779"/>
    <w:rsid w:val="002B7332"/>
    <w:rsid w:val="002B7F51"/>
    <w:rsid w:val="002C09E7"/>
    <w:rsid w:val="002C3F07"/>
    <w:rsid w:val="002C5278"/>
    <w:rsid w:val="002C7EBB"/>
    <w:rsid w:val="002D06C1"/>
    <w:rsid w:val="002D42B5"/>
    <w:rsid w:val="002D4F1A"/>
    <w:rsid w:val="002D6DA6"/>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E62"/>
    <w:rsid w:val="00324EDD"/>
    <w:rsid w:val="003331E4"/>
    <w:rsid w:val="00336C64"/>
    <w:rsid w:val="00337162"/>
    <w:rsid w:val="0034194F"/>
    <w:rsid w:val="00342DB8"/>
    <w:rsid w:val="00344605"/>
    <w:rsid w:val="003474AA"/>
    <w:rsid w:val="00350D1D"/>
    <w:rsid w:val="00351901"/>
    <w:rsid w:val="00352C83"/>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582"/>
    <w:rsid w:val="003A4077"/>
    <w:rsid w:val="003B09AD"/>
    <w:rsid w:val="003B0BD9"/>
    <w:rsid w:val="003B1F18"/>
    <w:rsid w:val="003B5BF0"/>
    <w:rsid w:val="003B60BF"/>
    <w:rsid w:val="003B6BE3"/>
    <w:rsid w:val="003C010C"/>
    <w:rsid w:val="003C0A6C"/>
    <w:rsid w:val="003C2859"/>
    <w:rsid w:val="003C5A43"/>
    <w:rsid w:val="003D0519"/>
    <w:rsid w:val="003D0FF6"/>
    <w:rsid w:val="003D262C"/>
    <w:rsid w:val="003D6D61"/>
    <w:rsid w:val="003E091D"/>
    <w:rsid w:val="003E1C53"/>
    <w:rsid w:val="003E2A69"/>
    <w:rsid w:val="003E2D49"/>
    <w:rsid w:val="003E2FD4"/>
    <w:rsid w:val="003E49F6"/>
    <w:rsid w:val="003F0841"/>
    <w:rsid w:val="003F23D3"/>
    <w:rsid w:val="003F3F08"/>
    <w:rsid w:val="003F49F1"/>
    <w:rsid w:val="003F6272"/>
    <w:rsid w:val="003F72A3"/>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563CD"/>
    <w:rsid w:val="00463B77"/>
    <w:rsid w:val="00463C7B"/>
    <w:rsid w:val="00463F02"/>
    <w:rsid w:val="004644A6"/>
    <w:rsid w:val="004659BD"/>
    <w:rsid w:val="00465E8F"/>
    <w:rsid w:val="00470775"/>
    <w:rsid w:val="004715BD"/>
    <w:rsid w:val="004746B1"/>
    <w:rsid w:val="0047583F"/>
    <w:rsid w:val="00484936"/>
    <w:rsid w:val="00485C89"/>
    <w:rsid w:val="00486BE3"/>
    <w:rsid w:val="004905E4"/>
    <w:rsid w:val="00490A89"/>
    <w:rsid w:val="00490AB4"/>
    <w:rsid w:val="004920D8"/>
    <w:rsid w:val="00492F02"/>
    <w:rsid w:val="004939AE"/>
    <w:rsid w:val="004A12DF"/>
    <w:rsid w:val="004A1BA8"/>
    <w:rsid w:val="004A4B57"/>
    <w:rsid w:val="004A63FA"/>
    <w:rsid w:val="004A7A2C"/>
    <w:rsid w:val="004B0272"/>
    <w:rsid w:val="004B2701"/>
    <w:rsid w:val="004B2E1B"/>
    <w:rsid w:val="004B3E93"/>
    <w:rsid w:val="004C1FBC"/>
    <w:rsid w:val="004C3F1D"/>
    <w:rsid w:val="004C458D"/>
    <w:rsid w:val="004C7556"/>
    <w:rsid w:val="004C7E9D"/>
    <w:rsid w:val="004C7F67"/>
    <w:rsid w:val="004D076D"/>
    <w:rsid w:val="004D0EF1"/>
    <w:rsid w:val="004D14F9"/>
    <w:rsid w:val="004D189E"/>
    <w:rsid w:val="004D2253"/>
    <w:rsid w:val="004D4406"/>
    <w:rsid w:val="004D7C42"/>
    <w:rsid w:val="004E0465"/>
    <w:rsid w:val="004E127B"/>
    <w:rsid w:val="004E1C0A"/>
    <w:rsid w:val="004E3014"/>
    <w:rsid w:val="004E30C5"/>
    <w:rsid w:val="004E4AA5"/>
    <w:rsid w:val="004E4AEE"/>
    <w:rsid w:val="004E59E3"/>
    <w:rsid w:val="004E67C0"/>
    <w:rsid w:val="004F2302"/>
    <w:rsid w:val="004F391A"/>
    <w:rsid w:val="004F3CFB"/>
    <w:rsid w:val="004F6456"/>
    <w:rsid w:val="004F696E"/>
    <w:rsid w:val="004F6C71"/>
    <w:rsid w:val="00501139"/>
    <w:rsid w:val="00502991"/>
    <w:rsid w:val="0050363E"/>
    <w:rsid w:val="005039BC"/>
    <w:rsid w:val="005043BB"/>
    <w:rsid w:val="00504A3D"/>
    <w:rsid w:val="00505767"/>
    <w:rsid w:val="005073F0"/>
    <w:rsid w:val="00510A7B"/>
    <w:rsid w:val="00512F6E"/>
    <w:rsid w:val="00513038"/>
    <w:rsid w:val="00514174"/>
    <w:rsid w:val="00516088"/>
    <w:rsid w:val="00516B0B"/>
    <w:rsid w:val="005207F4"/>
    <w:rsid w:val="005220EC"/>
    <w:rsid w:val="00523F95"/>
    <w:rsid w:val="00524D65"/>
    <w:rsid w:val="00525B16"/>
    <w:rsid w:val="00533D04"/>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DFD"/>
    <w:rsid w:val="00593544"/>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1505"/>
    <w:rsid w:val="005C29B8"/>
    <w:rsid w:val="005C5F21"/>
    <w:rsid w:val="005C7156"/>
    <w:rsid w:val="005D0C75"/>
    <w:rsid w:val="005D1E63"/>
    <w:rsid w:val="005D4171"/>
    <w:rsid w:val="005D6A95"/>
    <w:rsid w:val="005D6B2C"/>
    <w:rsid w:val="005D6D9C"/>
    <w:rsid w:val="005E2335"/>
    <w:rsid w:val="005E34CA"/>
    <w:rsid w:val="005E3C18"/>
    <w:rsid w:val="005E6318"/>
    <w:rsid w:val="005E6812"/>
    <w:rsid w:val="005E7829"/>
    <w:rsid w:val="005E7881"/>
    <w:rsid w:val="005E78E0"/>
    <w:rsid w:val="005F0D9C"/>
    <w:rsid w:val="005F284E"/>
    <w:rsid w:val="006015CE"/>
    <w:rsid w:val="00604784"/>
    <w:rsid w:val="00606419"/>
    <w:rsid w:val="00607D29"/>
    <w:rsid w:val="00612952"/>
    <w:rsid w:val="00614CC1"/>
    <w:rsid w:val="00615A9D"/>
    <w:rsid w:val="00617387"/>
    <w:rsid w:val="006252D8"/>
    <w:rsid w:val="006259BC"/>
    <w:rsid w:val="0062636B"/>
    <w:rsid w:val="00632182"/>
    <w:rsid w:val="00632AE0"/>
    <w:rsid w:val="00633C17"/>
    <w:rsid w:val="00636E3E"/>
    <w:rsid w:val="006379F7"/>
    <w:rsid w:val="00637E4D"/>
    <w:rsid w:val="00640620"/>
    <w:rsid w:val="00641A1F"/>
    <w:rsid w:val="0064528D"/>
    <w:rsid w:val="00645904"/>
    <w:rsid w:val="00651ACB"/>
    <w:rsid w:val="00651C47"/>
    <w:rsid w:val="00652AB2"/>
    <w:rsid w:val="00654EC0"/>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B7562"/>
    <w:rsid w:val="006C1BBA"/>
    <w:rsid w:val="006C2079"/>
    <w:rsid w:val="006C317D"/>
    <w:rsid w:val="006C5A62"/>
    <w:rsid w:val="006C5D68"/>
    <w:rsid w:val="006C6976"/>
    <w:rsid w:val="006C6DD0"/>
    <w:rsid w:val="006D04EA"/>
    <w:rsid w:val="006D16C4"/>
    <w:rsid w:val="006D3E96"/>
    <w:rsid w:val="006D4515"/>
    <w:rsid w:val="006D4BB1"/>
    <w:rsid w:val="006D6593"/>
    <w:rsid w:val="006D686E"/>
    <w:rsid w:val="006F03A8"/>
    <w:rsid w:val="006F126C"/>
    <w:rsid w:val="006F2ACA"/>
    <w:rsid w:val="006F2ADC"/>
    <w:rsid w:val="006F2BFE"/>
    <w:rsid w:val="006F31E9"/>
    <w:rsid w:val="006F56E5"/>
    <w:rsid w:val="006F6284"/>
    <w:rsid w:val="007002C5"/>
    <w:rsid w:val="0070348B"/>
    <w:rsid w:val="00704387"/>
    <w:rsid w:val="00707669"/>
    <w:rsid w:val="00711CBA"/>
    <w:rsid w:val="00711FB5"/>
    <w:rsid w:val="00712A01"/>
    <w:rsid w:val="00714F58"/>
    <w:rsid w:val="00722FBF"/>
    <w:rsid w:val="00722FC2"/>
    <w:rsid w:val="00725949"/>
    <w:rsid w:val="00727FA2"/>
    <w:rsid w:val="007322D9"/>
    <w:rsid w:val="00732BC0"/>
    <w:rsid w:val="00732F4E"/>
    <w:rsid w:val="0073720F"/>
    <w:rsid w:val="00737796"/>
    <w:rsid w:val="0074165C"/>
    <w:rsid w:val="00742C35"/>
    <w:rsid w:val="007432CA"/>
    <w:rsid w:val="007439EB"/>
    <w:rsid w:val="00743CB4"/>
    <w:rsid w:val="00743F0A"/>
    <w:rsid w:val="007444E8"/>
    <w:rsid w:val="0074548E"/>
    <w:rsid w:val="00745773"/>
    <w:rsid w:val="00746800"/>
    <w:rsid w:val="00747CF0"/>
    <w:rsid w:val="007501A8"/>
    <w:rsid w:val="00750EE1"/>
    <w:rsid w:val="00752B4D"/>
    <w:rsid w:val="00755402"/>
    <w:rsid w:val="00756B26"/>
    <w:rsid w:val="00756EDF"/>
    <w:rsid w:val="00765C43"/>
    <w:rsid w:val="00765EFB"/>
    <w:rsid w:val="007671CA"/>
    <w:rsid w:val="0076744F"/>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2CD6"/>
    <w:rsid w:val="007B5A3D"/>
    <w:rsid w:val="007B5B95"/>
    <w:rsid w:val="007B68EA"/>
    <w:rsid w:val="007B7453"/>
    <w:rsid w:val="007C2D89"/>
    <w:rsid w:val="007C4593"/>
    <w:rsid w:val="007C5309"/>
    <w:rsid w:val="007C6069"/>
    <w:rsid w:val="007D06C4"/>
    <w:rsid w:val="007D1352"/>
    <w:rsid w:val="007D2508"/>
    <w:rsid w:val="007D346A"/>
    <w:rsid w:val="007D6518"/>
    <w:rsid w:val="007D76BD"/>
    <w:rsid w:val="007E0BF1"/>
    <w:rsid w:val="007E0D02"/>
    <w:rsid w:val="007E258B"/>
    <w:rsid w:val="007F0ED8"/>
    <w:rsid w:val="007F0F63"/>
    <w:rsid w:val="007F3748"/>
    <w:rsid w:val="007F75CE"/>
    <w:rsid w:val="008013A4"/>
    <w:rsid w:val="008027CE"/>
    <w:rsid w:val="00802F42"/>
    <w:rsid w:val="00804383"/>
    <w:rsid w:val="00804BB7"/>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2A47"/>
    <w:rsid w:val="00843C13"/>
    <w:rsid w:val="008454F8"/>
    <w:rsid w:val="0085173A"/>
    <w:rsid w:val="00854343"/>
    <w:rsid w:val="00860297"/>
    <w:rsid w:val="008603CE"/>
    <w:rsid w:val="008620FC"/>
    <w:rsid w:val="008627A5"/>
    <w:rsid w:val="00863E05"/>
    <w:rsid w:val="0086431E"/>
    <w:rsid w:val="00865ACA"/>
    <w:rsid w:val="00865D28"/>
    <w:rsid w:val="00865F85"/>
    <w:rsid w:val="00867C10"/>
    <w:rsid w:val="00870439"/>
    <w:rsid w:val="00870DA1"/>
    <w:rsid w:val="00883F93"/>
    <w:rsid w:val="00884DB3"/>
    <w:rsid w:val="00885A9D"/>
    <w:rsid w:val="008864F6"/>
    <w:rsid w:val="0089049D"/>
    <w:rsid w:val="008928C9"/>
    <w:rsid w:val="008938D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1797"/>
    <w:rsid w:val="008C219C"/>
    <w:rsid w:val="008C475E"/>
    <w:rsid w:val="008C4767"/>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58DC"/>
    <w:rsid w:val="008F70BD"/>
    <w:rsid w:val="008F788F"/>
    <w:rsid w:val="008F7EA2"/>
    <w:rsid w:val="00902722"/>
    <w:rsid w:val="009027BC"/>
    <w:rsid w:val="009062E6"/>
    <w:rsid w:val="00911AF6"/>
    <w:rsid w:val="00911BE5"/>
    <w:rsid w:val="00913CA9"/>
    <w:rsid w:val="009145AE"/>
    <w:rsid w:val="009146CE"/>
    <w:rsid w:val="00914CA7"/>
    <w:rsid w:val="00915C3E"/>
    <w:rsid w:val="009161A8"/>
    <w:rsid w:val="009245F5"/>
    <w:rsid w:val="009249EC"/>
    <w:rsid w:val="009273B3"/>
    <w:rsid w:val="009305B5"/>
    <w:rsid w:val="00941FA3"/>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4782"/>
    <w:rsid w:val="00995230"/>
    <w:rsid w:val="0099551B"/>
    <w:rsid w:val="00997BF1"/>
    <w:rsid w:val="009A089C"/>
    <w:rsid w:val="009A118E"/>
    <w:rsid w:val="009A21CD"/>
    <w:rsid w:val="009A278C"/>
    <w:rsid w:val="009A2BC2"/>
    <w:rsid w:val="009A42C1"/>
    <w:rsid w:val="009A5429"/>
    <w:rsid w:val="009A72AD"/>
    <w:rsid w:val="009B09E0"/>
    <w:rsid w:val="009B0BC5"/>
    <w:rsid w:val="009B1247"/>
    <w:rsid w:val="009B6029"/>
    <w:rsid w:val="009B6464"/>
    <w:rsid w:val="009B6971"/>
    <w:rsid w:val="009C27F1"/>
    <w:rsid w:val="009C3152"/>
    <w:rsid w:val="009C4CFA"/>
    <w:rsid w:val="009C5070"/>
    <w:rsid w:val="009D112C"/>
    <w:rsid w:val="009D47FA"/>
    <w:rsid w:val="009D50D2"/>
    <w:rsid w:val="009D6BCA"/>
    <w:rsid w:val="009D72B9"/>
    <w:rsid w:val="009E0F62"/>
    <w:rsid w:val="009E1848"/>
    <w:rsid w:val="009E4A58"/>
    <w:rsid w:val="009E5A2D"/>
    <w:rsid w:val="009E5AB2"/>
    <w:rsid w:val="009E6219"/>
    <w:rsid w:val="009F03B3"/>
    <w:rsid w:val="00A01757"/>
    <w:rsid w:val="00A028C0"/>
    <w:rsid w:val="00A02BAE"/>
    <w:rsid w:val="00A05AA6"/>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4006C"/>
    <w:rsid w:val="00A40091"/>
    <w:rsid w:val="00A4030F"/>
    <w:rsid w:val="00A41C79"/>
    <w:rsid w:val="00A41CB5"/>
    <w:rsid w:val="00A42CDF"/>
    <w:rsid w:val="00A4307B"/>
    <w:rsid w:val="00A4452E"/>
    <w:rsid w:val="00A4472C"/>
    <w:rsid w:val="00A44E69"/>
    <w:rsid w:val="00A4661E"/>
    <w:rsid w:val="00A55BD6"/>
    <w:rsid w:val="00A55D50"/>
    <w:rsid w:val="00A57142"/>
    <w:rsid w:val="00A61D48"/>
    <w:rsid w:val="00A648CD"/>
    <w:rsid w:val="00A6537A"/>
    <w:rsid w:val="00A67866"/>
    <w:rsid w:val="00A70B07"/>
    <w:rsid w:val="00A723F8"/>
    <w:rsid w:val="00A77CCB"/>
    <w:rsid w:val="00A83D8D"/>
    <w:rsid w:val="00A83E19"/>
    <w:rsid w:val="00A8446B"/>
    <w:rsid w:val="00A8473F"/>
    <w:rsid w:val="00A862D6"/>
    <w:rsid w:val="00A8715E"/>
    <w:rsid w:val="00A87647"/>
    <w:rsid w:val="00A9295B"/>
    <w:rsid w:val="00A93B09"/>
    <w:rsid w:val="00A952D7"/>
    <w:rsid w:val="00A963F7"/>
    <w:rsid w:val="00A96AD8"/>
    <w:rsid w:val="00AA052C"/>
    <w:rsid w:val="00AA1E45"/>
    <w:rsid w:val="00AA30E6"/>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5D89"/>
    <w:rsid w:val="00AE070A"/>
    <w:rsid w:val="00AE101C"/>
    <w:rsid w:val="00AE232F"/>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432"/>
    <w:rsid w:val="00B447A5"/>
    <w:rsid w:val="00B4654C"/>
    <w:rsid w:val="00B47293"/>
    <w:rsid w:val="00B50E50"/>
    <w:rsid w:val="00B52120"/>
    <w:rsid w:val="00B54ABC"/>
    <w:rsid w:val="00B56FBE"/>
    <w:rsid w:val="00B62B58"/>
    <w:rsid w:val="00B65149"/>
    <w:rsid w:val="00B66567"/>
    <w:rsid w:val="00B66F52"/>
    <w:rsid w:val="00B66FE5"/>
    <w:rsid w:val="00B72880"/>
    <w:rsid w:val="00B758BF"/>
    <w:rsid w:val="00B827A6"/>
    <w:rsid w:val="00B831CE"/>
    <w:rsid w:val="00B86677"/>
    <w:rsid w:val="00B87131"/>
    <w:rsid w:val="00B939B1"/>
    <w:rsid w:val="00B96D40"/>
    <w:rsid w:val="00B97386"/>
    <w:rsid w:val="00B978DB"/>
    <w:rsid w:val="00BA263B"/>
    <w:rsid w:val="00BA42B2"/>
    <w:rsid w:val="00BA58D4"/>
    <w:rsid w:val="00BA5B9E"/>
    <w:rsid w:val="00BA7C9A"/>
    <w:rsid w:val="00BB5F8F"/>
    <w:rsid w:val="00BB657A"/>
    <w:rsid w:val="00BC1A4E"/>
    <w:rsid w:val="00BC5DC7"/>
    <w:rsid w:val="00BC6B41"/>
    <w:rsid w:val="00BC6B8B"/>
    <w:rsid w:val="00BC73D8"/>
    <w:rsid w:val="00BD52D7"/>
    <w:rsid w:val="00BD5AD2"/>
    <w:rsid w:val="00BE22F3"/>
    <w:rsid w:val="00BE5B52"/>
    <w:rsid w:val="00BE7B8D"/>
    <w:rsid w:val="00BF0993"/>
    <w:rsid w:val="00BF10A9"/>
    <w:rsid w:val="00BF1703"/>
    <w:rsid w:val="00BF231C"/>
    <w:rsid w:val="00BF51E5"/>
    <w:rsid w:val="00BF74A6"/>
    <w:rsid w:val="00BF7718"/>
    <w:rsid w:val="00C013AD"/>
    <w:rsid w:val="00C020FB"/>
    <w:rsid w:val="00C04904"/>
    <w:rsid w:val="00C056B3"/>
    <w:rsid w:val="00C103E5"/>
    <w:rsid w:val="00C13319"/>
    <w:rsid w:val="00C13EE9"/>
    <w:rsid w:val="00C21540"/>
    <w:rsid w:val="00C21906"/>
    <w:rsid w:val="00C21BFA"/>
    <w:rsid w:val="00C24C8D"/>
    <w:rsid w:val="00C25FE2"/>
    <w:rsid w:val="00C260F4"/>
    <w:rsid w:val="00C26B53"/>
    <w:rsid w:val="00C279B2"/>
    <w:rsid w:val="00C33E50"/>
    <w:rsid w:val="00C34C20"/>
    <w:rsid w:val="00C35A3E"/>
    <w:rsid w:val="00C42130"/>
    <w:rsid w:val="00C423A4"/>
    <w:rsid w:val="00C44BF5"/>
    <w:rsid w:val="00C51744"/>
    <w:rsid w:val="00C521D6"/>
    <w:rsid w:val="00C55232"/>
    <w:rsid w:val="00C553A4"/>
    <w:rsid w:val="00C55A06"/>
    <w:rsid w:val="00C55D03"/>
    <w:rsid w:val="00C601BC"/>
    <w:rsid w:val="00C6329F"/>
    <w:rsid w:val="00C63340"/>
    <w:rsid w:val="00C63B11"/>
    <w:rsid w:val="00C643F9"/>
    <w:rsid w:val="00C64E95"/>
    <w:rsid w:val="00C71372"/>
    <w:rsid w:val="00C72410"/>
    <w:rsid w:val="00C7287F"/>
    <w:rsid w:val="00C75146"/>
    <w:rsid w:val="00C80CB8"/>
    <w:rsid w:val="00C819F8"/>
    <w:rsid w:val="00C8248C"/>
    <w:rsid w:val="00C84E33"/>
    <w:rsid w:val="00C86D6F"/>
    <w:rsid w:val="00C905FC"/>
    <w:rsid w:val="00C92D03"/>
    <w:rsid w:val="00C9319C"/>
    <w:rsid w:val="00C9435D"/>
    <w:rsid w:val="00C96741"/>
    <w:rsid w:val="00CA2D1B"/>
    <w:rsid w:val="00CA662A"/>
    <w:rsid w:val="00CA7AFD"/>
    <w:rsid w:val="00CA7C3C"/>
    <w:rsid w:val="00CB0189"/>
    <w:rsid w:val="00CB0BA2"/>
    <w:rsid w:val="00CB1A42"/>
    <w:rsid w:val="00CB1B0C"/>
    <w:rsid w:val="00CB2C0B"/>
    <w:rsid w:val="00CB517D"/>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EEF"/>
    <w:rsid w:val="00CE0C4F"/>
    <w:rsid w:val="00CE30EA"/>
    <w:rsid w:val="00CF048A"/>
    <w:rsid w:val="00CF155A"/>
    <w:rsid w:val="00CF2947"/>
    <w:rsid w:val="00CF4E76"/>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32719"/>
    <w:rsid w:val="00D33333"/>
    <w:rsid w:val="00D34CB7"/>
    <w:rsid w:val="00D352A2"/>
    <w:rsid w:val="00D4162B"/>
    <w:rsid w:val="00D4514F"/>
    <w:rsid w:val="00D451E2"/>
    <w:rsid w:val="00D45E89"/>
    <w:rsid w:val="00D45E8D"/>
    <w:rsid w:val="00D466AE"/>
    <w:rsid w:val="00D4734F"/>
    <w:rsid w:val="00D51BF3"/>
    <w:rsid w:val="00D54B98"/>
    <w:rsid w:val="00D56D85"/>
    <w:rsid w:val="00D66846"/>
    <w:rsid w:val="00D675FB"/>
    <w:rsid w:val="00D71F25"/>
    <w:rsid w:val="00D77031"/>
    <w:rsid w:val="00D81136"/>
    <w:rsid w:val="00D84941"/>
    <w:rsid w:val="00D84FA1"/>
    <w:rsid w:val="00D851F0"/>
    <w:rsid w:val="00D86DB7"/>
    <w:rsid w:val="00D9060C"/>
    <w:rsid w:val="00D926D0"/>
    <w:rsid w:val="00D92ADF"/>
    <w:rsid w:val="00D93030"/>
    <w:rsid w:val="00D950E1"/>
    <w:rsid w:val="00D952A6"/>
    <w:rsid w:val="00D97F99"/>
    <w:rsid w:val="00DA1E08"/>
    <w:rsid w:val="00DA2204"/>
    <w:rsid w:val="00DA24F8"/>
    <w:rsid w:val="00DA28E8"/>
    <w:rsid w:val="00DA38D3"/>
    <w:rsid w:val="00DA3932"/>
    <w:rsid w:val="00DA3AFC"/>
    <w:rsid w:val="00DA64F8"/>
    <w:rsid w:val="00DA6C15"/>
    <w:rsid w:val="00DB38EE"/>
    <w:rsid w:val="00DB498B"/>
    <w:rsid w:val="00DB66CA"/>
    <w:rsid w:val="00DB6BCA"/>
    <w:rsid w:val="00DB7113"/>
    <w:rsid w:val="00DC0321"/>
    <w:rsid w:val="00DC3067"/>
    <w:rsid w:val="00DC370B"/>
    <w:rsid w:val="00DC5B90"/>
    <w:rsid w:val="00DD00FF"/>
    <w:rsid w:val="00DD0619"/>
    <w:rsid w:val="00DD07FB"/>
    <w:rsid w:val="00DD25C6"/>
    <w:rsid w:val="00DD4FE5"/>
    <w:rsid w:val="00DD54B0"/>
    <w:rsid w:val="00DD57EE"/>
    <w:rsid w:val="00DD5BEB"/>
    <w:rsid w:val="00DD6BCC"/>
    <w:rsid w:val="00DE0A4B"/>
    <w:rsid w:val="00DE2410"/>
    <w:rsid w:val="00DE2939"/>
    <w:rsid w:val="00DE6E81"/>
    <w:rsid w:val="00DE703F"/>
    <w:rsid w:val="00DE7595"/>
    <w:rsid w:val="00DF1961"/>
    <w:rsid w:val="00DF44DE"/>
    <w:rsid w:val="00DF4A10"/>
    <w:rsid w:val="00E01138"/>
    <w:rsid w:val="00E02DFB"/>
    <w:rsid w:val="00E030F9"/>
    <w:rsid w:val="00E0311A"/>
    <w:rsid w:val="00E03138"/>
    <w:rsid w:val="00E06404"/>
    <w:rsid w:val="00E11A85"/>
    <w:rsid w:val="00E12495"/>
    <w:rsid w:val="00E15CCD"/>
    <w:rsid w:val="00E15D9E"/>
    <w:rsid w:val="00E202EF"/>
    <w:rsid w:val="00E210B5"/>
    <w:rsid w:val="00E2552F"/>
    <w:rsid w:val="00E3137A"/>
    <w:rsid w:val="00E32213"/>
    <w:rsid w:val="00E32CCF"/>
    <w:rsid w:val="00E33542"/>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2FF9"/>
    <w:rsid w:val="00E635D6"/>
    <w:rsid w:val="00E639BC"/>
    <w:rsid w:val="00E664CC"/>
    <w:rsid w:val="00E70388"/>
    <w:rsid w:val="00E70B15"/>
    <w:rsid w:val="00E70F92"/>
    <w:rsid w:val="00E74C54"/>
    <w:rsid w:val="00E77A03"/>
    <w:rsid w:val="00E822E8"/>
    <w:rsid w:val="00E82554"/>
    <w:rsid w:val="00E82606"/>
    <w:rsid w:val="00E846C8"/>
    <w:rsid w:val="00E84957"/>
    <w:rsid w:val="00E84A55"/>
    <w:rsid w:val="00E85BFF"/>
    <w:rsid w:val="00E90391"/>
    <w:rsid w:val="00E906C2"/>
    <w:rsid w:val="00E9070B"/>
    <w:rsid w:val="00E9311F"/>
    <w:rsid w:val="00E934D1"/>
    <w:rsid w:val="00E94AF0"/>
    <w:rsid w:val="00E95D13"/>
    <w:rsid w:val="00E95DD3"/>
    <w:rsid w:val="00E969D5"/>
    <w:rsid w:val="00EA58D1"/>
    <w:rsid w:val="00EA61BC"/>
    <w:rsid w:val="00EA681A"/>
    <w:rsid w:val="00EA735B"/>
    <w:rsid w:val="00EB1E69"/>
    <w:rsid w:val="00EB2086"/>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1542"/>
    <w:rsid w:val="00F06D37"/>
    <w:rsid w:val="00F07B9D"/>
    <w:rsid w:val="00F10926"/>
    <w:rsid w:val="00F11586"/>
    <w:rsid w:val="00F1183B"/>
    <w:rsid w:val="00F11C9F"/>
    <w:rsid w:val="00F12263"/>
    <w:rsid w:val="00F1409D"/>
    <w:rsid w:val="00F14214"/>
    <w:rsid w:val="00F157A9"/>
    <w:rsid w:val="00F25BB6"/>
    <w:rsid w:val="00F26B7E"/>
    <w:rsid w:val="00F27A3B"/>
    <w:rsid w:val="00F33817"/>
    <w:rsid w:val="00F3447F"/>
    <w:rsid w:val="00F420D5"/>
    <w:rsid w:val="00F451EA"/>
    <w:rsid w:val="00F45447"/>
    <w:rsid w:val="00F456C6"/>
    <w:rsid w:val="00F4577B"/>
    <w:rsid w:val="00F46496"/>
    <w:rsid w:val="00F474D0"/>
    <w:rsid w:val="00F50179"/>
    <w:rsid w:val="00F56511"/>
    <w:rsid w:val="00F6194E"/>
    <w:rsid w:val="00F623AC"/>
    <w:rsid w:val="00F6412A"/>
    <w:rsid w:val="00F65893"/>
    <w:rsid w:val="00F66A4A"/>
    <w:rsid w:val="00F71E22"/>
    <w:rsid w:val="00F72142"/>
    <w:rsid w:val="00F72AE7"/>
    <w:rsid w:val="00F77D98"/>
    <w:rsid w:val="00F833BA"/>
    <w:rsid w:val="00F84FD0"/>
    <w:rsid w:val="00F859A8"/>
    <w:rsid w:val="00F9108B"/>
    <w:rsid w:val="00F91349"/>
    <w:rsid w:val="00F93A8A"/>
    <w:rsid w:val="00F95248"/>
    <w:rsid w:val="00F956A9"/>
    <w:rsid w:val="00F963ED"/>
    <w:rsid w:val="00F966CF"/>
    <w:rsid w:val="00F96CAE"/>
    <w:rsid w:val="00F97C99"/>
    <w:rsid w:val="00FA662D"/>
    <w:rsid w:val="00FA6730"/>
    <w:rsid w:val="00FA73B1"/>
    <w:rsid w:val="00FB0CB9"/>
    <w:rsid w:val="00FB45F1"/>
    <w:rsid w:val="00FB4A72"/>
    <w:rsid w:val="00FB54E8"/>
    <w:rsid w:val="00FB6F8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83B1F11"/>
    <w:rsid w:val="19EB197F"/>
    <w:rsid w:val="1F3522F8"/>
    <w:rsid w:val="22B4183F"/>
    <w:rsid w:val="24020C24"/>
    <w:rsid w:val="2AC726CF"/>
    <w:rsid w:val="308D1737"/>
    <w:rsid w:val="350B7755"/>
    <w:rsid w:val="46C73EC1"/>
    <w:rsid w:val="4B4E7897"/>
    <w:rsid w:val="632A4354"/>
    <w:rsid w:val="75E81B54"/>
    <w:rsid w:val="7A9D7424"/>
    <w:rsid w:val="7B556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34892;&#19994;&#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E5132013D624E2CBC029A21174DA16F"/>
        <w:style w:val=""/>
        <w:category>
          <w:name w:val="常规"/>
          <w:gallery w:val="placeholder"/>
        </w:category>
        <w:types>
          <w:type w:val="bbPlcHdr"/>
        </w:types>
        <w:behaviors>
          <w:behavior w:val="content"/>
        </w:behaviors>
        <w:description w:val=""/>
        <w:guid w:val="{6775CBE4-549C-44AA-A704-A4EA3F39BC6C}"/>
      </w:docPartPr>
      <w:docPartBody>
        <w:p w14:paraId="486E197C">
          <w:pPr>
            <w:pStyle w:val="5"/>
          </w:pPr>
          <w:r>
            <w:rPr>
              <w:rStyle w:val="4"/>
              <w:rFonts w:hint="eastAsia"/>
            </w:rPr>
            <w:t>单击或点击此处输入文字。</w:t>
          </w:r>
        </w:p>
      </w:docPartBody>
    </w:docPart>
    <w:docPart>
      <w:docPartPr>
        <w:name w:val="E36FC14807B64CBFA8A3E0AD8ECB1F70"/>
        <w:style w:val=""/>
        <w:category>
          <w:name w:val="常规"/>
          <w:gallery w:val="placeholder"/>
        </w:category>
        <w:types>
          <w:type w:val="bbPlcHdr"/>
        </w:types>
        <w:behaviors>
          <w:behavior w:val="content"/>
        </w:behaviors>
        <w:description w:val=""/>
        <w:guid w:val="{2B3E2F7A-EBBF-43D8-AB64-D16CF451F026}"/>
      </w:docPartPr>
      <w:docPartBody>
        <w:p w14:paraId="731ECC67">
          <w:pPr>
            <w:pStyle w:val="6"/>
          </w:pPr>
          <w:r>
            <w:rPr>
              <w:rStyle w:val="4"/>
              <w:rFonts w:hint="eastAsia"/>
            </w:rPr>
            <w:t>选择一项。</w:t>
          </w:r>
        </w:p>
      </w:docPartBody>
    </w:docPart>
    <w:docPart>
      <w:docPartPr>
        <w:name w:val="F802C1C2BF184EF2845699E0A1EDDBB4"/>
        <w:style w:val=""/>
        <w:category>
          <w:name w:val="常规"/>
          <w:gallery w:val="placeholder"/>
        </w:category>
        <w:types>
          <w:type w:val="bbPlcHdr"/>
        </w:types>
        <w:behaviors>
          <w:behavior w:val="content"/>
        </w:behaviors>
        <w:description w:val=""/>
        <w:guid w:val="{3E2DB96F-6270-482D-81B7-37294C222F41}"/>
      </w:docPartPr>
      <w:docPartBody>
        <w:p w14:paraId="579307A0">
          <w:pPr>
            <w:pStyle w:val="7"/>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DF0"/>
    <w:rsid w:val="00465E8F"/>
    <w:rsid w:val="005A2C0E"/>
    <w:rsid w:val="006D0B14"/>
    <w:rsid w:val="00946C81"/>
    <w:rsid w:val="009616C7"/>
    <w:rsid w:val="00AC3821"/>
    <w:rsid w:val="00BA68FB"/>
    <w:rsid w:val="00C13394"/>
    <w:rsid w:val="00DA2204"/>
    <w:rsid w:val="00EB0D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E5132013D624E2CBC029A21174DA16F"/>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E36FC14807B64CBFA8A3E0AD8ECB1F7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F802C1C2BF184EF2845699E0A1EDDBB4"/>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537C92-E7CA-4AB9-8626-135CDDD98BBF}">
  <ds:schemaRefs/>
</ds:datastoreItem>
</file>

<file path=docProps/app.xml><?xml version="1.0" encoding="utf-8"?>
<Properties xmlns="http://schemas.openxmlformats.org/officeDocument/2006/extended-properties" xmlns:vt="http://schemas.openxmlformats.org/officeDocument/2006/docPropsVTypes">
  <Template>行业标准</Template>
  <Company>PCMI</Company>
  <Pages>12</Pages>
  <Words>5274</Words>
  <Characters>5698</Characters>
  <Lines>58</Lines>
  <Paragraphs>16</Paragraphs>
  <TotalTime>133</TotalTime>
  <ScaleCrop>false</ScaleCrop>
  <LinksUpToDate>false</LinksUpToDate>
  <CharactersWithSpaces>5837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2026-03-12T15:27:00Z</dcterms:created>
  <dc:creator>ZSM</dc:creator>
  <dc:description>&lt;config cover="true" show_menu="true" version="1.0.0" doctype="SDKXY"&gt;_x000d_
&lt;/config&gt;</dc:description>
  <cp:lastModifiedBy>Lenovo</cp:lastModifiedBy>
  <cp:lastPrinted>2021-02-02T08:18:00Z</cp:lastPrinted>
  <dcterms:modified xsi:type="dcterms:W3CDTF">2026-06-30T03:47:08Z</dcterms:modified>
  <dc:title>行业标准</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行业标准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eyJoZGlkIjoiMzA5NjkxMWExNjA5NTJkOGNhYTJkZTM2MzkwZjE2YTUiLCJ1c2VySWQiOiIyNDkwMTMwNjcifQ==</vt:lpwstr>
  </property>
  <property fmtid="{D5CDD505-2E9C-101B-9397-08002B2CF9AE}" pid="15" name="KSOProductBuildVer">
    <vt:lpwstr>2052-12.1.0.26895</vt:lpwstr>
  </property>
  <property fmtid="{D5CDD505-2E9C-101B-9397-08002B2CF9AE}" pid="16" name="ICV">
    <vt:lpwstr>8ABCCA60859843B28CC5A9C14BEB5C69_13</vt:lpwstr>
  </property>
</Properties>
</file>